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E" w:rsidRPr="009A4AD9" w:rsidRDefault="009A4AD9" w:rsidP="009A4AD9">
      <w:pPr>
        <w:jc w:val="center"/>
        <w:rPr>
          <w:rFonts w:ascii="Times New Roman" w:hAnsi="Times New Roman" w:cs="Times New Roman"/>
          <w:b/>
          <w:sz w:val="28"/>
        </w:rPr>
      </w:pPr>
      <w:r w:rsidRPr="009A4AD9">
        <w:rPr>
          <w:rFonts w:ascii="Times New Roman" w:hAnsi="Times New Roman" w:cs="Times New Roman"/>
          <w:b/>
          <w:sz w:val="28"/>
        </w:rPr>
        <w:t>March 2015 Flavor Report</w:t>
      </w:r>
    </w:p>
    <w:p w:rsidR="009A4AD9" w:rsidRPr="009A4AD9" w:rsidRDefault="009A4AD9" w:rsidP="009A4AD9">
      <w:pPr>
        <w:jc w:val="center"/>
        <w:rPr>
          <w:rFonts w:ascii="Times New Roman" w:hAnsi="Times New Roman" w:cs="Times New Roman"/>
          <w:b/>
          <w:sz w:val="28"/>
        </w:rPr>
      </w:pPr>
      <w:r w:rsidRPr="009A4AD9">
        <w:rPr>
          <w:rFonts w:ascii="Times New Roman" w:hAnsi="Times New Roman" w:cs="Times New Roman"/>
          <w:b/>
          <w:sz w:val="28"/>
        </w:rPr>
        <w:t>The Barley Project</w:t>
      </w:r>
    </w:p>
    <w:p w:rsidR="00650442" w:rsidRPr="009A4AD9" w:rsidRDefault="00650442" w:rsidP="0065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A4AD9">
        <w:rPr>
          <w:rFonts w:ascii="Times New Roman" w:hAnsi="Times New Roman" w:cs="Times New Roman"/>
          <w:b/>
        </w:rPr>
        <w:t>Phase</w:t>
      </w:r>
      <w:proofErr w:type="gramEnd"/>
      <w:r w:rsidRPr="009A4AD9">
        <w:rPr>
          <w:rFonts w:ascii="Times New Roman" w:hAnsi="Times New Roman" w:cs="Times New Roman"/>
          <w:b/>
        </w:rPr>
        <w:t xml:space="preserve"> I cont.</w:t>
      </w:r>
      <w:r w:rsidRPr="009A4AD9">
        <w:rPr>
          <w:rFonts w:ascii="Times New Roman" w:hAnsi="Times New Roman" w:cs="Times New Roman"/>
        </w:rPr>
        <w:t xml:space="preserve"> - Dan Carey at New Glarus brewing is continuing on </w:t>
      </w:r>
      <w:proofErr w:type="spellStart"/>
      <w:r w:rsidRPr="009A4AD9">
        <w:rPr>
          <w:rFonts w:ascii="Times New Roman" w:hAnsi="Times New Roman" w:cs="Times New Roman"/>
        </w:rPr>
        <w:t>nano</w:t>
      </w:r>
      <w:proofErr w:type="spellEnd"/>
      <w:r w:rsidRPr="009A4AD9">
        <w:rPr>
          <w:rFonts w:ascii="Times New Roman" w:hAnsi="Times New Roman" w:cs="Times New Roman"/>
        </w:rPr>
        <w:t>-brewing subset of exotic germplasm in search for unique flavor.</w:t>
      </w:r>
    </w:p>
    <w:p w:rsidR="00650442" w:rsidRPr="009A4AD9" w:rsidRDefault="00650442" w:rsidP="0065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 xml:space="preserve">Results will be compared to </w:t>
      </w:r>
      <w:proofErr w:type="spellStart"/>
      <w:r w:rsidRPr="009A4AD9">
        <w:rPr>
          <w:rFonts w:ascii="Times New Roman" w:hAnsi="Times New Roman" w:cs="Times New Roman"/>
        </w:rPr>
        <w:t>wort</w:t>
      </w:r>
      <w:proofErr w:type="spellEnd"/>
      <w:r w:rsidRPr="009A4AD9">
        <w:rPr>
          <w:rFonts w:ascii="Times New Roman" w:hAnsi="Times New Roman" w:cs="Times New Roman"/>
        </w:rPr>
        <w:t xml:space="preserve"> sensory and analytics from Sierra Nevada with Tom Nielsen</w:t>
      </w:r>
    </w:p>
    <w:p w:rsidR="00650442" w:rsidRPr="009A4AD9" w:rsidRDefault="00650442" w:rsidP="00650442">
      <w:pPr>
        <w:pStyle w:val="ListParagraph"/>
        <w:ind w:left="1440"/>
        <w:rPr>
          <w:rFonts w:ascii="Times New Roman" w:hAnsi="Times New Roman" w:cs="Times New Roman"/>
        </w:rPr>
      </w:pPr>
    </w:p>
    <w:p w:rsidR="00650442" w:rsidRPr="009A4AD9" w:rsidRDefault="00650442" w:rsidP="0065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>Barley vs. Malt</w:t>
      </w:r>
      <w:r w:rsidRPr="009A4AD9">
        <w:rPr>
          <w:rFonts w:ascii="Times New Roman" w:hAnsi="Times New Roman" w:cs="Times New Roman"/>
        </w:rPr>
        <w:t xml:space="preserve"> – New Chapter in flavor project</w:t>
      </w:r>
    </w:p>
    <w:p w:rsidR="00650442" w:rsidRPr="009A4AD9" w:rsidRDefault="00650442" w:rsidP="0065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>Enzymatically brewed barley beer and pale malt beer were brewed to identical recipe except for the use of enzymes and malting</w:t>
      </w:r>
    </w:p>
    <w:p w:rsidR="00650442" w:rsidRPr="009A4AD9" w:rsidRDefault="00650442" w:rsidP="0065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>Both beers had unique flavors with consumer preferences for both.</w:t>
      </w:r>
    </w:p>
    <w:p w:rsidR="00650442" w:rsidRPr="009A4AD9" w:rsidRDefault="00650442" w:rsidP="0065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>Beers will be on tap along with poster at the spring biannual meeting of the PNW chapter of MBAA.</w:t>
      </w:r>
    </w:p>
    <w:p w:rsidR="00650442" w:rsidRPr="009A4AD9" w:rsidRDefault="00650442" w:rsidP="0065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>Tasting of the beers at the Craft Maltsters Guild tour on April 14</w:t>
      </w:r>
      <w:r w:rsidRPr="009A4AD9">
        <w:rPr>
          <w:rFonts w:ascii="Times New Roman" w:hAnsi="Times New Roman" w:cs="Times New Roman"/>
          <w:vertAlign w:val="superscript"/>
        </w:rPr>
        <w:t>th</w:t>
      </w:r>
      <w:r w:rsidRPr="009A4AD9">
        <w:rPr>
          <w:rFonts w:ascii="Times New Roman" w:hAnsi="Times New Roman" w:cs="Times New Roman"/>
        </w:rPr>
        <w:t xml:space="preserve"> at OSU.</w:t>
      </w:r>
    </w:p>
    <w:p w:rsidR="00650442" w:rsidRPr="009A4AD9" w:rsidRDefault="00650442" w:rsidP="0065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 xml:space="preserve">Planning to expand the project to multiple varieties – </w:t>
      </w:r>
      <w:r w:rsidRPr="00E31090">
        <w:rPr>
          <w:rFonts w:ascii="Times New Roman" w:hAnsi="Times New Roman" w:cs="Times New Roman"/>
          <w:b/>
        </w:rPr>
        <w:t>thoughts?</w:t>
      </w:r>
    </w:p>
    <w:p w:rsidR="00650442" w:rsidRPr="009A4AD9" w:rsidRDefault="00650442" w:rsidP="00650442">
      <w:pPr>
        <w:pStyle w:val="ListParagraph"/>
        <w:ind w:left="1440"/>
        <w:rPr>
          <w:rFonts w:ascii="Times New Roman" w:hAnsi="Times New Roman" w:cs="Times New Roman"/>
        </w:rPr>
      </w:pPr>
    </w:p>
    <w:p w:rsidR="00650442" w:rsidRPr="009A4AD9" w:rsidRDefault="00650442" w:rsidP="0065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>Flavor project gets the spotlight</w:t>
      </w:r>
      <w:r w:rsidRPr="009A4AD9">
        <w:rPr>
          <w:rFonts w:ascii="Times New Roman" w:hAnsi="Times New Roman" w:cs="Times New Roman"/>
        </w:rPr>
        <w:t xml:space="preserve"> - 3x3 abstract submitted to ASBC has been accepted for oral presentation. Dustin will be in </w:t>
      </w:r>
      <w:proofErr w:type="spellStart"/>
      <w:r w:rsidRPr="009A4AD9">
        <w:rPr>
          <w:rFonts w:ascii="Times New Roman" w:hAnsi="Times New Roman" w:cs="Times New Roman"/>
        </w:rPr>
        <w:t>LaQuinta</w:t>
      </w:r>
      <w:proofErr w:type="spellEnd"/>
      <w:r w:rsidRPr="009A4AD9">
        <w:rPr>
          <w:rFonts w:ascii="Times New Roman" w:hAnsi="Times New Roman" w:cs="Times New Roman"/>
        </w:rPr>
        <w:t>, CA for the presentation on the 16</w:t>
      </w:r>
      <w:r w:rsidRPr="009A4AD9">
        <w:rPr>
          <w:rFonts w:ascii="Times New Roman" w:hAnsi="Times New Roman" w:cs="Times New Roman"/>
          <w:vertAlign w:val="superscript"/>
        </w:rPr>
        <w:t>th</w:t>
      </w:r>
      <w:r w:rsidRPr="009A4AD9">
        <w:rPr>
          <w:rFonts w:ascii="Times New Roman" w:hAnsi="Times New Roman" w:cs="Times New Roman"/>
        </w:rPr>
        <w:t xml:space="preserve"> of June.</w:t>
      </w:r>
      <w:r w:rsidR="003E257C" w:rsidRPr="009A4AD9">
        <w:rPr>
          <w:rFonts w:ascii="Times New Roman" w:hAnsi="Times New Roman" w:cs="Times New Roman"/>
        </w:rPr>
        <w:t xml:space="preserve"> All will be listed as co-authors.</w:t>
      </w:r>
    </w:p>
    <w:p w:rsidR="00D24FC8" w:rsidRPr="009A4AD9" w:rsidRDefault="00D24FC8" w:rsidP="00D24FC8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650442" w:rsidRPr="009A4AD9" w:rsidRDefault="00D24FC8" w:rsidP="006A2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>3x2 (The Willamette 3)</w:t>
      </w:r>
      <w:r w:rsidRPr="009A4AD9">
        <w:rPr>
          <w:rFonts w:ascii="Times New Roman" w:hAnsi="Times New Roman" w:cs="Times New Roman"/>
        </w:rPr>
        <w:t xml:space="preserve"> </w:t>
      </w:r>
    </w:p>
    <w:p w:rsidR="006A2267" w:rsidRPr="009A4AD9" w:rsidRDefault="00947F3D" w:rsidP="006A2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 xml:space="preserve">Conference participants preferred the beers brewed </w:t>
      </w:r>
      <w:r w:rsidR="006F3466" w:rsidRPr="009A4AD9">
        <w:rPr>
          <w:rFonts w:ascii="Times New Roman" w:hAnsi="Times New Roman" w:cs="Times New Roman"/>
        </w:rPr>
        <w:t xml:space="preserve">with Full Pint or Copeland over </w:t>
      </w:r>
      <w:proofErr w:type="spellStart"/>
      <w:r w:rsidR="006F3466" w:rsidRPr="009A4AD9">
        <w:rPr>
          <w:rFonts w:ascii="Times New Roman" w:hAnsi="Times New Roman" w:cs="Times New Roman"/>
        </w:rPr>
        <w:t>Klages</w:t>
      </w:r>
      <w:proofErr w:type="spellEnd"/>
      <w:r w:rsidR="006F3466" w:rsidRPr="009A4AD9">
        <w:rPr>
          <w:rFonts w:ascii="Times New Roman" w:hAnsi="Times New Roman" w:cs="Times New Roman"/>
        </w:rPr>
        <w:t xml:space="preserve"> beer. There was no </w:t>
      </w:r>
      <w:r w:rsidR="009A4AD9" w:rsidRPr="009A4AD9">
        <w:rPr>
          <w:rFonts w:ascii="Times New Roman" w:hAnsi="Times New Roman" w:cs="Times New Roman"/>
        </w:rPr>
        <w:t>significant</w:t>
      </w:r>
      <w:r w:rsidR="006F3466" w:rsidRPr="009A4AD9">
        <w:rPr>
          <w:rFonts w:ascii="Times New Roman" w:hAnsi="Times New Roman" w:cs="Times New Roman"/>
        </w:rPr>
        <w:t xml:space="preserve"> difference in preference between Full Pint and Copeland. Sensory descriptors described </w:t>
      </w:r>
      <w:proofErr w:type="spellStart"/>
      <w:r w:rsidR="006F3466" w:rsidRPr="009A4AD9">
        <w:rPr>
          <w:rFonts w:ascii="Times New Roman" w:hAnsi="Times New Roman" w:cs="Times New Roman"/>
        </w:rPr>
        <w:t>Klages</w:t>
      </w:r>
      <w:proofErr w:type="spellEnd"/>
      <w:r w:rsidR="006F3466" w:rsidRPr="009A4AD9">
        <w:rPr>
          <w:rFonts w:ascii="Times New Roman" w:hAnsi="Times New Roman" w:cs="Times New Roman"/>
        </w:rPr>
        <w:t xml:space="preserve"> as sweeter with more floral and malty characteristics compared to other varieties, but weak in overall intensity.</w:t>
      </w:r>
    </w:p>
    <w:p w:rsidR="006A2267" w:rsidRPr="009A4AD9" w:rsidRDefault="009A4AD9" w:rsidP="006A2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>Aroma triangle test at OSU brewing lab indicated diffe</w:t>
      </w:r>
      <w:r w:rsidR="006B4987">
        <w:rPr>
          <w:rFonts w:ascii="Times New Roman" w:hAnsi="Times New Roman" w:cs="Times New Roman"/>
        </w:rPr>
        <w:t>rences between New Glarus Full Pint/</w:t>
      </w:r>
      <w:proofErr w:type="spellStart"/>
      <w:r w:rsidR="006B4987">
        <w:rPr>
          <w:rFonts w:ascii="Times New Roman" w:hAnsi="Times New Roman" w:cs="Times New Roman"/>
        </w:rPr>
        <w:t>Klages</w:t>
      </w:r>
      <w:proofErr w:type="spellEnd"/>
      <w:r w:rsidR="006B4987">
        <w:rPr>
          <w:rFonts w:ascii="Times New Roman" w:hAnsi="Times New Roman" w:cs="Times New Roman"/>
        </w:rPr>
        <w:t xml:space="preserve"> and Copeland/</w:t>
      </w:r>
      <w:proofErr w:type="spellStart"/>
      <w:r w:rsidR="006B4987">
        <w:rPr>
          <w:rFonts w:ascii="Times New Roman" w:hAnsi="Times New Roman" w:cs="Times New Roman"/>
        </w:rPr>
        <w:t>Klages</w:t>
      </w:r>
      <w:proofErr w:type="spellEnd"/>
      <w:r w:rsidRPr="009A4AD9">
        <w:rPr>
          <w:rFonts w:ascii="Times New Roman" w:hAnsi="Times New Roman" w:cs="Times New Roman"/>
        </w:rPr>
        <w:t xml:space="preserve"> while differences were only detected in Sierra Nev</w:t>
      </w:r>
      <w:r w:rsidR="006B4987">
        <w:rPr>
          <w:rFonts w:ascii="Times New Roman" w:hAnsi="Times New Roman" w:cs="Times New Roman"/>
        </w:rPr>
        <w:t xml:space="preserve">ada Full Pint/Copeland and </w:t>
      </w:r>
      <w:proofErr w:type="spellStart"/>
      <w:r w:rsidRPr="009A4AD9">
        <w:rPr>
          <w:rFonts w:ascii="Times New Roman" w:hAnsi="Times New Roman" w:cs="Times New Roman"/>
        </w:rPr>
        <w:t>Klages</w:t>
      </w:r>
      <w:proofErr w:type="spellEnd"/>
      <w:r w:rsidR="006B4987">
        <w:rPr>
          <w:rFonts w:ascii="Times New Roman" w:hAnsi="Times New Roman" w:cs="Times New Roman"/>
        </w:rPr>
        <w:t>/Copeland</w:t>
      </w:r>
      <w:r w:rsidRPr="009A4AD9">
        <w:rPr>
          <w:rFonts w:ascii="Times New Roman" w:hAnsi="Times New Roman" w:cs="Times New Roman"/>
        </w:rPr>
        <w:t>. Overall differences were minute and descriptive analysis was not performed.</w:t>
      </w:r>
    </w:p>
    <w:p w:rsidR="006A2267" w:rsidRPr="009A4AD9" w:rsidRDefault="001D6BA2" w:rsidP="006A2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 xml:space="preserve">Figures below display the overall preference of the three Sierra Nevada beers brewed from Full Pint, </w:t>
      </w:r>
      <w:proofErr w:type="spellStart"/>
      <w:r w:rsidRPr="009A4AD9">
        <w:rPr>
          <w:rFonts w:ascii="Times New Roman" w:hAnsi="Times New Roman" w:cs="Times New Roman"/>
        </w:rPr>
        <w:t>Klages</w:t>
      </w:r>
      <w:proofErr w:type="spellEnd"/>
      <w:r w:rsidRPr="009A4AD9">
        <w:rPr>
          <w:rFonts w:ascii="Times New Roman" w:hAnsi="Times New Roman" w:cs="Times New Roman"/>
        </w:rPr>
        <w:t>, and Copeland (1=like very much; 2= like moderately; 3= like slightly;4=neither like nor dislike; 5=dislike slightly;6=dislike moderately;7=dislike very much)</w:t>
      </w:r>
      <w:r w:rsidR="00947F3D" w:rsidRPr="009A4AD9">
        <w:rPr>
          <w:rFonts w:ascii="Times New Roman" w:hAnsi="Times New Roman" w:cs="Times New Roman"/>
        </w:rPr>
        <w:t xml:space="preserve"> at the BIC.</w:t>
      </w:r>
    </w:p>
    <w:p w:rsidR="001D6BA2" w:rsidRPr="009A4AD9" w:rsidRDefault="001D6BA2" w:rsidP="001D6B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>For more detailed report please see barleyworld.org</w:t>
      </w:r>
    </w:p>
    <w:p w:rsidR="006A2267" w:rsidRPr="009A4AD9" w:rsidRDefault="001D6BA2" w:rsidP="006A2267">
      <w:p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1159E2" wp14:editId="4AB1F410">
            <wp:extent cx="1916582" cy="1682496"/>
            <wp:effectExtent l="0" t="0" r="26670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A4AD9">
        <w:rPr>
          <w:rFonts w:ascii="Times New Roman" w:hAnsi="Times New Roman" w:cs="Times New Roman"/>
          <w:noProof/>
        </w:rPr>
        <w:t xml:space="preserve"> </w:t>
      </w:r>
      <w:r w:rsidRPr="009A4AD9">
        <w:rPr>
          <w:rFonts w:ascii="Times New Roman" w:hAnsi="Times New Roman" w:cs="Times New Roman"/>
          <w:noProof/>
        </w:rPr>
        <w:drawing>
          <wp:inline distT="0" distB="0" distL="0" distR="0" wp14:anchorId="27ECF629" wp14:editId="48AC4F65">
            <wp:extent cx="1887322" cy="1667866"/>
            <wp:effectExtent l="0" t="0" r="17780" b="279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A4AD9">
        <w:rPr>
          <w:rFonts w:ascii="Times New Roman" w:hAnsi="Times New Roman" w:cs="Times New Roman"/>
          <w:noProof/>
        </w:rPr>
        <w:t xml:space="preserve"> </w:t>
      </w:r>
      <w:r w:rsidRPr="009A4AD9">
        <w:rPr>
          <w:rFonts w:ascii="Times New Roman" w:hAnsi="Times New Roman" w:cs="Times New Roman"/>
          <w:noProof/>
        </w:rPr>
        <w:drawing>
          <wp:inline distT="0" distB="0" distL="0" distR="0" wp14:anchorId="156EC0FE" wp14:editId="54EE87F2">
            <wp:extent cx="1989734" cy="1682496"/>
            <wp:effectExtent l="0" t="0" r="10795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257C" w:rsidRPr="009A4AD9" w:rsidRDefault="00A025B9" w:rsidP="0065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 xml:space="preserve">Building the </w:t>
      </w:r>
      <w:r w:rsidR="00D24FC8" w:rsidRPr="009A4AD9">
        <w:rPr>
          <w:rFonts w:ascii="Times New Roman" w:hAnsi="Times New Roman" w:cs="Times New Roman"/>
          <w:b/>
        </w:rPr>
        <w:t xml:space="preserve">brand </w:t>
      </w:r>
      <w:r w:rsidR="00D24FC8" w:rsidRPr="009A4AD9">
        <w:rPr>
          <w:rFonts w:ascii="Times New Roman" w:hAnsi="Times New Roman" w:cs="Times New Roman"/>
        </w:rPr>
        <w:t>–</w:t>
      </w:r>
      <w:r w:rsidR="00650442" w:rsidRPr="009A4AD9">
        <w:rPr>
          <w:rFonts w:ascii="Times New Roman" w:hAnsi="Times New Roman" w:cs="Times New Roman"/>
        </w:rPr>
        <w:t xml:space="preserve"> </w:t>
      </w:r>
      <w:r w:rsidR="003E257C" w:rsidRPr="009A4AD9">
        <w:rPr>
          <w:rFonts w:ascii="Times New Roman" w:hAnsi="Times New Roman" w:cs="Times New Roman"/>
        </w:rPr>
        <w:t xml:space="preserve">4 varieties, 3 locations, 3 nitrogen trials, and 4 replications. </w:t>
      </w:r>
    </w:p>
    <w:p w:rsidR="00650442" w:rsidRPr="009A4AD9" w:rsidRDefault="00650442" w:rsidP="003E2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 xml:space="preserve">Lebanon environment planted for the “building the </w:t>
      </w:r>
      <w:r w:rsidR="00A025B9" w:rsidRPr="009A4AD9">
        <w:rPr>
          <w:rFonts w:ascii="Times New Roman" w:hAnsi="Times New Roman" w:cs="Times New Roman"/>
        </w:rPr>
        <w:t xml:space="preserve">brand </w:t>
      </w:r>
      <w:r w:rsidRPr="009A4AD9">
        <w:rPr>
          <w:rFonts w:ascii="Times New Roman" w:hAnsi="Times New Roman" w:cs="Times New Roman"/>
        </w:rPr>
        <w:t>” project</w:t>
      </w:r>
    </w:p>
    <w:p w:rsidR="00650442" w:rsidRPr="009A4AD9" w:rsidRDefault="00650442" w:rsidP="0065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</w:rPr>
        <w:t>Other locations soon to be planted</w:t>
      </w:r>
      <w:r w:rsidR="003E257C" w:rsidRPr="009A4AD9">
        <w:rPr>
          <w:rFonts w:ascii="Times New Roman" w:hAnsi="Times New Roman" w:cs="Times New Roman"/>
        </w:rPr>
        <w:t xml:space="preserve"> (Klamath Basin in southern Oregon </w:t>
      </w:r>
      <w:r w:rsidR="007808AD">
        <w:rPr>
          <w:rFonts w:ascii="Times New Roman" w:hAnsi="Times New Roman" w:cs="Times New Roman"/>
        </w:rPr>
        <w:t>&amp; Morrow county in n</w:t>
      </w:r>
      <w:r w:rsidR="003E257C" w:rsidRPr="009A4AD9">
        <w:rPr>
          <w:rFonts w:ascii="Times New Roman" w:hAnsi="Times New Roman" w:cs="Times New Roman"/>
        </w:rPr>
        <w:t>ortheast Oregon)</w:t>
      </w:r>
    </w:p>
    <w:p w:rsidR="003E257C" w:rsidRPr="009A4AD9" w:rsidRDefault="003E257C" w:rsidP="003E257C">
      <w:pPr>
        <w:pStyle w:val="ListParagraph"/>
        <w:ind w:left="1440"/>
        <w:rPr>
          <w:rFonts w:ascii="Times New Roman" w:hAnsi="Times New Roman" w:cs="Times New Roman"/>
        </w:rPr>
      </w:pPr>
    </w:p>
    <w:p w:rsidR="003E257C" w:rsidRPr="009A4AD9" w:rsidRDefault="003E257C" w:rsidP="003E2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 xml:space="preserve">Oregon Promise – </w:t>
      </w:r>
      <w:r w:rsidRPr="009A4AD9">
        <w:rPr>
          <w:rFonts w:ascii="Times New Roman" w:hAnsi="Times New Roman" w:cs="Times New Roman"/>
        </w:rPr>
        <w:t>Full population planted in Corvallis, OR for continued disease and agronomic ratings</w:t>
      </w:r>
    </w:p>
    <w:p w:rsidR="00D24FC8" w:rsidRPr="009A4AD9" w:rsidRDefault="003E257C" w:rsidP="003E2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>Selections</w:t>
      </w:r>
      <w:r w:rsidRPr="009A4AD9">
        <w:rPr>
          <w:rFonts w:ascii="Times New Roman" w:hAnsi="Times New Roman" w:cs="Times New Roman"/>
        </w:rPr>
        <w:t xml:space="preserve"> of top performers from Oregon Promise (Full Pint x Golden Promise)</w:t>
      </w:r>
      <w:r w:rsidR="00D24FC8" w:rsidRPr="009A4AD9">
        <w:rPr>
          <w:rFonts w:ascii="Times New Roman" w:hAnsi="Times New Roman" w:cs="Times New Roman"/>
        </w:rPr>
        <w:t xml:space="preserve"> based on malt quality, agronomics, and yields have</w:t>
      </w:r>
      <w:r w:rsidRPr="009A4AD9">
        <w:rPr>
          <w:rFonts w:ascii="Times New Roman" w:hAnsi="Times New Roman" w:cs="Times New Roman"/>
        </w:rPr>
        <w:t xml:space="preserve"> been</w:t>
      </w:r>
      <w:r w:rsidR="00D24FC8" w:rsidRPr="009A4AD9">
        <w:rPr>
          <w:rFonts w:ascii="Times New Roman" w:hAnsi="Times New Roman" w:cs="Times New Roman"/>
        </w:rPr>
        <w:t xml:space="preserve"> selected for further trials.</w:t>
      </w:r>
    </w:p>
    <w:p w:rsidR="003E257C" w:rsidRPr="009A4AD9" w:rsidRDefault="00D24FC8" w:rsidP="003E2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 xml:space="preserve">Field trials </w:t>
      </w:r>
      <w:r w:rsidRPr="009A4AD9">
        <w:rPr>
          <w:rFonts w:ascii="Times New Roman" w:hAnsi="Times New Roman" w:cs="Times New Roman"/>
        </w:rPr>
        <w:t>of selection</w:t>
      </w:r>
      <w:r w:rsidR="000B6784">
        <w:rPr>
          <w:rFonts w:ascii="Times New Roman" w:hAnsi="Times New Roman" w:cs="Times New Roman"/>
        </w:rPr>
        <w:t>s</w:t>
      </w:r>
      <w:r w:rsidRPr="009A4AD9">
        <w:rPr>
          <w:rFonts w:ascii="Times New Roman" w:hAnsi="Times New Roman" w:cs="Times New Roman"/>
        </w:rPr>
        <w:t xml:space="preserve"> have been</w:t>
      </w:r>
      <w:r w:rsidR="003E257C" w:rsidRPr="009A4AD9">
        <w:rPr>
          <w:rFonts w:ascii="Times New Roman" w:hAnsi="Times New Roman" w:cs="Times New Roman"/>
        </w:rPr>
        <w:t xml:space="preserve"> planted in yield trials in Lebanon, Or on the Herb farm and will soon be planted on the Klann farm (Mecca Grade Estate Malting) in Madras, Or.</w:t>
      </w:r>
    </w:p>
    <w:p w:rsidR="003E257C" w:rsidRPr="009A4AD9" w:rsidRDefault="003E257C" w:rsidP="003E2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 xml:space="preserve">Nano-brews </w:t>
      </w:r>
      <w:r w:rsidRPr="009A4AD9">
        <w:rPr>
          <w:rFonts w:ascii="Times New Roman" w:hAnsi="Times New Roman" w:cs="Times New Roman"/>
        </w:rPr>
        <w:t>and sensory of 50 most promising lines from Oregon Promise</w:t>
      </w:r>
      <w:r w:rsidR="00D24FC8" w:rsidRPr="009A4AD9">
        <w:rPr>
          <w:rFonts w:ascii="Times New Roman" w:hAnsi="Times New Roman" w:cs="Times New Roman"/>
        </w:rPr>
        <w:t xml:space="preserve"> including parents and check are</w:t>
      </w:r>
      <w:r w:rsidRPr="009A4AD9">
        <w:rPr>
          <w:rFonts w:ascii="Times New Roman" w:hAnsi="Times New Roman" w:cs="Times New Roman"/>
        </w:rPr>
        <w:t xml:space="preserve"> underway at New Glarus Brewing Co. with Dan Carey</w:t>
      </w:r>
    </w:p>
    <w:p w:rsidR="003E257C" w:rsidRPr="009A4AD9" w:rsidRDefault="003E257C" w:rsidP="00D24FC8">
      <w:pPr>
        <w:pStyle w:val="ListParagraph"/>
        <w:ind w:left="1440"/>
        <w:rPr>
          <w:rFonts w:ascii="Times New Roman" w:hAnsi="Times New Roman" w:cs="Times New Roman"/>
        </w:rPr>
      </w:pPr>
    </w:p>
    <w:p w:rsidR="003D2426" w:rsidRPr="009A4AD9" w:rsidRDefault="003D2426" w:rsidP="003D2426">
      <w:pPr>
        <w:pStyle w:val="ListParagraph"/>
        <w:ind w:left="1440"/>
        <w:rPr>
          <w:rFonts w:ascii="Times New Roman" w:hAnsi="Times New Roman" w:cs="Times New Roman"/>
        </w:rPr>
      </w:pPr>
    </w:p>
    <w:p w:rsidR="00650442" w:rsidRDefault="003D2426" w:rsidP="00650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>Craft Brewing Conference</w:t>
      </w:r>
      <w:r w:rsidRPr="009A4AD9">
        <w:rPr>
          <w:rFonts w:ascii="Times New Roman" w:hAnsi="Times New Roman" w:cs="Times New Roman"/>
        </w:rPr>
        <w:t xml:space="preserve"> in Portland, Or April 13- 18</w:t>
      </w:r>
      <w:r w:rsidRPr="009A4AD9">
        <w:rPr>
          <w:rFonts w:ascii="Times New Roman" w:hAnsi="Times New Roman" w:cs="Times New Roman"/>
          <w:vertAlign w:val="superscript"/>
        </w:rPr>
        <w:t>th</w:t>
      </w:r>
      <w:r w:rsidRPr="009A4AD9">
        <w:rPr>
          <w:rFonts w:ascii="Times New Roman" w:hAnsi="Times New Roman" w:cs="Times New Roman"/>
        </w:rPr>
        <w:t xml:space="preserve"> – </w:t>
      </w:r>
      <w:r w:rsidRPr="009A4AD9">
        <w:rPr>
          <w:rFonts w:ascii="Times New Roman" w:hAnsi="Times New Roman" w:cs="Times New Roman"/>
          <w:b/>
        </w:rPr>
        <w:t>Flavor meeting?</w:t>
      </w:r>
    </w:p>
    <w:p w:rsidR="009A4AD9" w:rsidRDefault="009A4AD9" w:rsidP="009A4AD9">
      <w:pPr>
        <w:ind w:left="360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9A4AD9" w:rsidRPr="009A4AD9" w:rsidRDefault="009A4AD9" w:rsidP="009A4AD9">
      <w:pPr>
        <w:ind w:left="360"/>
        <w:jc w:val="center"/>
        <w:rPr>
          <w:rFonts w:ascii="Times New Roman" w:hAnsi="Times New Roman" w:cs="Times New Roman"/>
          <w:color w:val="000000"/>
        </w:rPr>
      </w:pPr>
      <w:r w:rsidRPr="009A4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always, there is a standing invitation to come visit Oregon State University and the barley project at any time.</w:t>
      </w:r>
    </w:p>
    <w:p w:rsidR="009A4AD9" w:rsidRPr="009A4AD9" w:rsidRDefault="009A4AD9" w:rsidP="009A4AD9">
      <w:pPr>
        <w:rPr>
          <w:rFonts w:ascii="Times New Roman" w:hAnsi="Times New Roman" w:cs="Times New Roman"/>
        </w:rPr>
      </w:pPr>
    </w:p>
    <w:p w:rsidR="00A025B9" w:rsidRPr="009A4AD9" w:rsidRDefault="00A025B9" w:rsidP="003E257C">
      <w:pPr>
        <w:rPr>
          <w:rFonts w:ascii="Times New Roman" w:hAnsi="Times New Roman" w:cs="Times New Roman"/>
        </w:rPr>
      </w:pPr>
      <w:r w:rsidRPr="009A4AD9">
        <w:rPr>
          <w:rFonts w:ascii="Times New Roman" w:hAnsi="Times New Roman" w:cs="Times New Roman"/>
          <w:b/>
        </w:rPr>
        <w:t xml:space="preserve"> </w:t>
      </w:r>
    </w:p>
    <w:sectPr w:rsidR="00A025B9" w:rsidRPr="009A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5AD1"/>
    <w:multiLevelType w:val="hybridMultilevel"/>
    <w:tmpl w:val="80CE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42"/>
    <w:rsid w:val="000B6784"/>
    <w:rsid w:val="000F46AE"/>
    <w:rsid w:val="000F7836"/>
    <w:rsid w:val="001D6BA2"/>
    <w:rsid w:val="003D2426"/>
    <w:rsid w:val="003E257C"/>
    <w:rsid w:val="00524698"/>
    <w:rsid w:val="00533BAB"/>
    <w:rsid w:val="00650442"/>
    <w:rsid w:val="006A2267"/>
    <w:rsid w:val="006B4987"/>
    <w:rsid w:val="006F3466"/>
    <w:rsid w:val="007808AD"/>
    <w:rsid w:val="00947F3D"/>
    <w:rsid w:val="009A4AD9"/>
    <w:rsid w:val="00A025B9"/>
    <w:rsid w:val="00D24FC8"/>
    <w:rsid w:val="00E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in%20Herb\Desktop\BIC_tasting_ballo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in%20Herb\Desktop\BIC_tasting_ball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Full Pint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Sheet1!$F$71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val>
            <c:numRef>
              <c:f>Sheet1!$F$72:$F$78</c:f>
              <c:numCache>
                <c:formatCode>General</c:formatCode>
                <c:ptCount val="7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12</c:v>
                </c:pt>
                <c:pt idx="4">
                  <c:v>10</c:v>
                </c:pt>
                <c:pt idx="5">
                  <c:v>9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axId val="54238592"/>
        <c:axId val="134112384"/>
      </c:barChart>
      <c:catAx>
        <c:axId val="5423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12384"/>
        <c:crosses val="autoZero"/>
        <c:auto val="1"/>
        <c:lblAlgn val="ctr"/>
        <c:lblOffset val="100"/>
        <c:noMultiLvlLbl val="0"/>
      </c:catAx>
      <c:valAx>
        <c:axId val="13411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38592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Klages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Sheet1!$H$71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rgbClr val="000099"/>
            </a:solidFill>
          </c:spPr>
          <c:invertIfNegative val="0"/>
          <c:val>
            <c:numRef>
              <c:f>Sheet1!$H$72:$H$78</c:f>
              <c:numCache>
                <c:formatCode>General</c:formatCode>
                <c:ptCount val="7"/>
                <c:pt idx="0">
                  <c:v>1</c:v>
                </c:pt>
                <c:pt idx="1">
                  <c:v>10</c:v>
                </c:pt>
                <c:pt idx="2">
                  <c:v>17</c:v>
                </c:pt>
                <c:pt idx="3">
                  <c:v>12</c:v>
                </c:pt>
                <c:pt idx="4">
                  <c:v>11</c:v>
                </c:pt>
                <c:pt idx="5">
                  <c:v>9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overlap val="-5"/>
        <c:axId val="134780416"/>
        <c:axId val="134781952"/>
      </c:barChart>
      <c:catAx>
        <c:axId val="13478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81952"/>
        <c:crosses val="autoZero"/>
        <c:auto val="1"/>
        <c:lblAlgn val="ctr"/>
        <c:lblOffset val="100"/>
        <c:noMultiLvlLbl val="0"/>
      </c:catAx>
      <c:valAx>
        <c:axId val="13478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80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Copeland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Sheet1!$D$71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rgbClr val="003300"/>
            </a:solidFill>
          </c:spPr>
          <c:invertIfNegative val="0"/>
          <c:val>
            <c:numRef>
              <c:f>Sheet1!$D$72:$D$78</c:f>
              <c:numCache>
                <c:formatCode>General</c:formatCode>
                <c:ptCount val="7"/>
                <c:pt idx="0">
                  <c:v>5</c:v>
                </c:pt>
                <c:pt idx="1">
                  <c:v>14</c:v>
                </c:pt>
                <c:pt idx="2">
                  <c:v>17</c:v>
                </c:pt>
                <c:pt idx="3">
                  <c:v>8</c:v>
                </c:pt>
                <c:pt idx="4">
                  <c:v>14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axId val="134794240"/>
        <c:axId val="134804224"/>
      </c:barChart>
      <c:catAx>
        <c:axId val="13479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04224"/>
        <c:crosses val="autoZero"/>
        <c:auto val="1"/>
        <c:lblAlgn val="ctr"/>
        <c:lblOffset val="100"/>
        <c:noMultiLvlLbl val="0"/>
      </c:catAx>
      <c:valAx>
        <c:axId val="13480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94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Herb</dc:creator>
  <cp:lastModifiedBy>Dustin Herb</cp:lastModifiedBy>
  <cp:revision>15</cp:revision>
  <dcterms:created xsi:type="dcterms:W3CDTF">2015-03-25T16:54:00Z</dcterms:created>
  <dcterms:modified xsi:type="dcterms:W3CDTF">2015-03-30T17:15:00Z</dcterms:modified>
</cp:coreProperties>
</file>