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0B8B8" w14:textId="77777777" w:rsidR="005570CB" w:rsidRPr="00B127A0" w:rsidRDefault="005570CB" w:rsidP="00B127A0">
      <w:pPr>
        <w:spacing w:after="240" w:line="480" w:lineRule="auto"/>
      </w:pPr>
    </w:p>
    <w:p w14:paraId="0B4830E2" w14:textId="77777777" w:rsidR="005570CB" w:rsidRPr="00B127A0" w:rsidRDefault="005570CB" w:rsidP="00B127A0">
      <w:pPr>
        <w:spacing w:after="240" w:line="480" w:lineRule="auto"/>
      </w:pPr>
    </w:p>
    <w:p w14:paraId="741D4865" w14:textId="41C8188E" w:rsidR="005570CB" w:rsidRPr="00B127A0" w:rsidRDefault="005570CB" w:rsidP="00B127A0">
      <w:pPr>
        <w:spacing w:after="240" w:line="480" w:lineRule="auto"/>
        <w:jc w:val="center"/>
        <w:rPr>
          <w:b/>
        </w:rPr>
      </w:pPr>
      <w:r w:rsidRPr="00B127A0">
        <w:rPr>
          <w:b/>
        </w:rPr>
        <w:t xml:space="preserve">Release </w:t>
      </w:r>
      <w:r w:rsidR="00E37F80" w:rsidRPr="00B127A0">
        <w:rPr>
          <w:b/>
        </w:rPr>
        <w:t xml:space="preserve">of </w:t>
      </w:r>
      <w:r w:rsidR="000E44E1" w:rsidRPr="00B127A0">
        <w:rPr>
          <w:b/>
        </w:rPr>
        <w:t>DH130910</w:t>
      </w:r>
      <w:r w:rsidR="00E37F80" w:rsidRPr="00B127A0">
        <w:rPr>
          <w:b/>
        </w:rPr>
        <w:t xml:space="preserve"> Two-row </w:t>
      </w:r>
      <w:r w:rsidR="000314B3">
        <w:rPr>
          <w:b/>
        </w:rPr>
        <w:t>Facultative</w:t>
      </w:r>
      <w:r w:rsidR="00E37F80" w:rsidRPr="00B127A0">
        <w:rPr>
          <w:b/>
        </w:rPr>
        <w:t xml:space="preserve"> </w:t>
      </w:r>
      <w:r w:rsidR="000134B1">
        <w:rPr>
          <w:b/>
        </w:rPr>
        <w:t xml:space="preserve">Malting </w:t>
      </w:r>
      <w:r w:rsidR="00E37F80" w:rsidRPr="00B127A0">
        <w:rPr>
          <w:b/>
        </w:rPr>
        <w:t>Barley</w:t>
      </w:r>
    </w:p>
    <w:p w14:paraId="5181E520" w14:textId="77777777" w:rsidR="00E37F80" w:rsidRPr="00B127A0" w:rsidRDefault="00E37F80" w:rsidP="00B127A0">
      <w:pPr>
        <w:spacing w:after="240" w:line="480" w:lineRule="auto"/>
      </w:pPr>
    </w:p>
    <w:p w14:paraId="2132FFF4" w14:textId="77777777" w:rsidR="00E02D96" w:rsidRPr="00E02D96" w:rsidRDefault="00E37F80" w:rsidP="00E02D96">
      <w:pPr>
        <w:spacing w:after="240"/>
        <w:jc w:val="center"/>
      </w:pPr>
      <w:r w:rsidRPr="00E02D96">
        <w:t>P.M. Hayes, T. Filichkin, S</w:t>
      </w:r>
      <w:r w:rsidR="00E02D96" w:rsidRPr="00E02D96">
        <w:t>. Fisk, L. Helgerson, B. Meints, D. Carrijo, J. Hernandez</w:t>
      </w:r>
    </w:p>
    <w:p w14:paraId="608254B9" w14:textId="3D6A1432" w:rsidR="00E37F80" w:rsidRDefault="00E37F80" w:rsidP="00E02D96">
      <w:pPr>
        <w:spacing w:after="240"/>
        <w:jc w:val="center"/>
      </w:pPr>
      <w:r w:rsidRPr="00E02D96">
        <w:t>Department of Crop and Soil Science. Oregon State University. Corvallis, OR, 97331 USA.</w:t>
      </w:r>
    </w:p>
    <w:p w14:paraId="6EF29330" w14:textId="77777777" w:rsidR="00A32C11" w:rsidRDefault="00A32C11" w:rsidP="00A32C11">
      <w:pPr>
        <w:autoSpaceDE w:val="0"/>
        <w:autoSpaceDN w:val="0"/>
        <w:adjustRightInd w:val="0"/>
        <w:jc w:val="center"/>
      </w:pPr>
    </w:p>
    <w:p w14:paraId="2EF64FC6" w14:textId="5A583F9D" w:rsidR="00A32C11" w:rsidRDefault="00DA7C76" w:rsidP="00766DB3">
      <w:pPr>
        <w:autoSpaceDE w:val="0"/>
        <w:autoSpaceDN w:val="0"/>
        <w:adjustRightInd w:val="0"/>
        <w:jc w:val="center"/>
      </w:pPr>
      <w:r>
        <w:t xml:space="preserve">Mark Sorrells, David </w:t>
      </w:r>
      <w:proofErr w:type="spellStart"/>
      <w:r>
        <w:t>Benscher</w:t>
      </w:r>
      <w:proofErr w:type="spellEnd"/>
    </w:p>
    <w:p w14:paraId="579A4753" w14:textId="77777777" w:rsidR="00A32C11" w:rsidRDefault="00A32C11">
      <w:pPr>
        <w:autoSpaceDE w:val="0"/>
        <w:autoSpaceDN w:val="0"/>
        <w:adjustRightInd w:val="0"/>
        <w:jc w:val="center"/>
      </w:pPr>
    </w:p>
    <w:p w14:paraId="50A9AB06" w14:textId="350D3AEC" w:rsidR="002C7B6A" w:rsidRDefault="002C7B6A" w:rsidP="00766DB3">
      <w:pPr>
        <w:autoSpaceDE w:val="0"/>
        <w:autoSpaceDN w:val="0"/>
        <w:adjustRightInd w:val="0"/>
        <w:jc w:val="center"/>
      </w:pPr>
      <w:r>
        <w:t>Plant Breeding &amp; Genetics Section, 240 Emersion Hall, School of Integrative Plant Science, Cornell University, Ithaca, NY 14853 USA</w:t>
      </w:r>
    </w:p>
    <w:p w14:paraId="1812F56D" w14:textId="77777777" w:rsidR="002C7B6A" w:rsidRDefault="002C7B6A" w:rsidP="002C7B6A">
      <w:pPr>
        <w:autoSpaceDE w:val="0"/>
        <w:autoSpaceDN w:val="0"/>
        <w:adjustRightInd w:val="0"/>
        <w:jc w:val="center"/>
      </w:pPr>
    </w:p>
    <w:p w14:paraId="2995964F" w14:textId="1413C6C8" w:rsidR="00DA7C76" w:rsidRPr="00E02D96" w:rsidRDefault="00DA7C76" w:rsidP="00E02D96">
      <w:pPr>
        <w:spacing w:after="240"/>
        <w:jc w:val="center"/>
      </w:pPr>
    </w:p>
    <w:p w14:paraId="736ABFFC" w14:textId="77777777" w:rsidR="005570CB" w:rsidRPr="00E02D96" w:rsidRDefault="005570CB" w:rsidP="00B127A0">
      <w:pPr>
        <w:spacing w:after="240" w:line="480" w:lineRule="auto"/>
      </w:pPr>
    </w:p>
    <w:p w14:paraId="12D3D33D" w14:textId="77777777" w:rsidR="00E37F80" w:rsidRPr="00E02D96" w:rsidRDefault="00E37F80" w:rsidP="00B127A0">
      <w:pPr>
        <w:spacing w:after="240" w:line="480" w:lineRule="auto"/>
        <w:jc w:val="center"/>
      </w:pPr>
      <w:r w:rsidRPr="00E02D96">
        <w:t xml:space="preserve">Released by the </w:t>
      </w:r>
    </w:p>
    <w:p w14:paraId="33252728" w14:textId="2D701779" w:rsidR="00CB3364" w:rsidRPr="00E02D96" w:rsidRDefault="00E274E4" w:rsidP="00B127A0">
      <w:pPr>
        <w:spacing w:after="240" w:line="480" w:lineRule="auto"/>
        <w:jc w:val="center"/>
      </w:pPr>
      <w:r w:rsidRPr="00E02D96">
        <w:t>Oregon Agricultural Experiment Station</w:t>
      </w:r>
    </w:p>
    <w:p w14:paraId="4041396D" w14:textId="532B6486" w:rsidR="00E37F80" w:rsidRPr="00B127A0" w:rsidRDefault="00E37F80" w:rsidP="00B127A0">
      <w:pPr>
        <w:spacing w:after="240" w:line="480" w:lineRule="auto"/>
        <w:jc w:val="center"/>
      </w:pPr>
      <w:r w:rsidRPr="00E02D96">
        <w:t xml:space="preserve">On </w:t>
      </w:r>
      <w:r w:rsidR="00406886">
        <w:t>July 4, 2020</w:t>
      </w:r>
    </w:p>
    <w:p w14:paraId="698F9B46" w14:textId="77777777" w:rsidR="00E37F80" w:rsidRPr="00B127A0" w:rsidRDefault="00E37F80" w:rsidP="00B127A0">
      <w:pPr>
        <w:spacing w:after="240" w:line="480" w:lineRule="auto"/>
        <w:jc w:val="center"/>
      </w:pPr>
    </w:p>
    <w:p w14:paraId="335C0459" w14:textId="4F6ED288" w:rsidR="00E274E4" w:rsidRPr="00B127A0" w:rsidRDefault="00E274E4" w:rsidP="00B127A0">
      <w:pPr>
        <w:spacing w:after="240" w:line="480" w:lineRule="auto"/>
        <w:jc w:val="center"/>
      </w:pPr>
      <w:r w:rsidRPr="00B127A0">
        <w:t>Oregon State University</w:t>
      </w:r>
    </w:p>
    <w:p w14:paraId="6C1F9A81" w14:textId="77777777" w:rsidR="00E274E4" w:rsidRPr="00B127A0" w:rsidRDefault="00E274E4" w:rsidP="00B127A0">
      <w:pPr>
        <w:spacing w:after="240" w:line="480" w:lineRule="auto"/>
        <w:jc w:val="center"/>
      </w:pPr>
      <w:r w:rsidRPr="00B127A0">
        <w:t>Corvallis, OR 97331</w:t>
      </w:r>
    </w:p>
    <w:p w14:paraId="13772E58" w14:textId="77777777" w:rsidR="00E274E4" w:rsidRPr="00B127A0" w:rsidRDefault="00E274E4" w:rsidP="00B127A0">
      <w:pPr>
        <w:spacing w:after="240" w:line="480" w:lineRule="auto"/>
        <w:jc w:val="center"/>
      </w:pPr>
    </w:p>
    <w:p w14:paraId="6D7C546F" w14:textId="07D47893" w:rsidR="00C419E6" w:rsidRPr="00B127A0" w:rsidRDefault="000E44E1" w:rsidP="00B127A0">
      <w:pPr>
        <w:spacing w:after="240" w:line="480" w:lineRule="auto"/>
      </w:pPr>
      <w:r w:rsidRPr="00B127A0">
        <w:lastRenderedPageBreak/>
        <w:t>DH130910</w:t>
      </w:r>
      <w:r w:rsidR="00E274E4" w:rsidRPr="00B127A0">
        <w:t xml:space="preserve"> is a two-row </w:t>
      </w:r>
      <w:r w:rsidRPr="00B127A0">
        <w:t>facultative</w:t>
      </w:r>
      <w:r w:rsidR="00E274E4" w:rsidRPr="00B127A0">
        <w:t xml:space="preserve"> </w:t>
      </w:r>
      <w:r w:rsidRPr="00B127A0">
        <w:t xml:space="preserve">malting </w:t>
      </w:r>
      <w:r w:rsidR="00E274E4" w:rsidRPr="00B127A0">
        <w:t>barley (</w:t>
      </w:r>
      <w:proofErr w:type="spellStart"/>
      <w:r w:rsidR="00E274E4" w:rsidRPr="00B127A0">
        <w:rPr>
          <w:i/>
        </w:rPr>
        <w:t>Hordeum</w:t>
      </w:r>
      <w:proofErr w:type="spellEnd"/>
      <w:r w:rsidR="00E274E4" w:rsidRPr="00B127A0">
        <w:rPr>
          <w:i/>
        </w:rPr>
        <w:t xml:space="preserve"> vulgare</w:t>
      </w:r>
      <w:r w:rsidR="009F47E4" w:rsidRPr="00B127A0">
        <w:rPr>
          <w:i/>
        </w:rPr>
        <w:t xml:space="preserve"> </w:t>
      </w:r>
      <w:r w:rsidR="009F47E4" w:rsidRPr="00B127A0">
        <w:t>subsp</w:t>
      </w:r>
      <w:r w:rsidR="009F47E4" w:rsidRPr="00B127A0">
        <w:rPr>
          <w:i/>
        </w:rPr>
        <w:t>. vulgare</w:t>
      </w:r>
      <w:r w:rsidR="00E274E4" w:rsidRPr="00B127A0">
        <w:t>) developed by Oregon State University (OSU). The variety is proposed for release based on its</w:t>
      </w:r>
      <w:r w:rsidRPr="00B127A0">
        <w:t xml:space="preserve"> excellent agronomic performance</w:t>
      </w:r>
      <w:r w:rsidR="00C419E6" w:rsidRPr="00B127A0">
        <w:t xml:space="preserve"> and competitive </w:t>
      </w:r>
      <w:r w:rsidR="00E274E4" w:rsidRPr="00B127A0">
        <w:t>malting quality</w:t>
      </w:r>
      <w:r w:rsidR="003B3D45" w:rsidRPr="00B127A0">
        <w:t xml:space="preserve">. It </w:t>
      </w:r>
      <w:r w:rsidR="00DB4491">
        <w:t xml:space="preserve">is </w:t>
      </w:r>
      <w:r w:rsidR="003B3D45" w:rsidRPr="00B127A0">
        <w:t>well adapted to the Pacific Northwest (South Idaho, Palouse, Columbia Basin, and western valleys of Oregon and Washington)</w:t>
      </w:r>
      <w:r w:rsidR="00790D65">
        <w:t xml:space="preserve"> and</w:t>
      </w:r>
      <w:r w:rsidR="003B3D45" w:rsidRPr="00B127A0">
        <w:t xml:space="preserve"> </w:t>
      </w:r>
      <w:r w:rsidR="00DA7C76" w:rsidRPr="00766DB3">
        <w:t>New York</w:t>
      </w:r>
      <w:r w:rsidR="006169F0">
        <w:t>.</w:t>
      </w:r>
      <w:r w:rsidR="00DA7C76">
        <w:t xml:space="preserve"> </w:t>
      </w:r>
      <w:r w:rsidR="006169F0">
        <w:t>D</w:t>
      </w:r>
      <w:r w:rsidR="000134B1">
        <w:t xml:space="preserve">ata from </w:t>
      </w:r>
      <w:r w:rsidR="00DA7C76">
        <w:t>the Winter Malting Barley Trial (</w:t>
      </w:r>
      <w:r w:rsidR="00790D65">
        <w:t xml:space="preserve">WMBT), </w:t>
      </w:r>
      <w:r w:rsidR="00DA7C76">
        <w:t>which is grown throughout the US</w:t>
      </w:r>
      <w:r w:rsidR="00790D65">
        <w:t xml:space="preserve">, </w:t>
      </w:r>
      <w:r w:rsidR="00DB4491">
        <w:t>suggests</w:t>
      </w:r>
      <w:r w:rsidR="003B3D45" w:rsidRPr="00B127A0">
        <w:t xml:space="preserve"> that it may have broader adaptation. DH130910 was bred for fall-planting, but it will flower under spring-planted conditions as well. Based on </w:t>
      </w:r>
      <w:r w:rsidR="00DA7C76">
        <w:t xml:space="preserve">the limited </w:t>
      </w:r>
      <w:r w:rsidR="003B3D45" w:rsidRPr="00B127A0">
        <w:t>spring-planted yield trials</w:t>
      </w:r>
      <w:r w:rsidR="00DA7C76">
        <w:t xml:space="preserve"> conducted to date</w:t>
      </w:r>
      <w:r w:rsidR="003B3D45" w:rsidRPr="00B127A0">
        <w:t xml:space="preserve">, DH130910 would be </w:t>
      </w:r>
      <w:r w:rsidR="003B3D45" w:rsidRPr="000A0541">
        <w:t>competitive at some locations under spring-planted conditions but other varieties</w:t>
      </w:r>
      <w:r w:rsidR="00C419E6" w:rsidRPr="000A0541">
        <w:t xml:space="preserve"> </w:t>
      </w:r>
      <w:r w:rsidR="000A0541" w:rsidRPr="000A0541">
        <w:t xml:space="preserve">may be </w:t>
      </w:r>
      <w:r w:rsidR="00C419E6" w:rsidRPr="000A0541">
        <w:t>higher yielding.</w:t>
      </w:r>
      <w:r w:rsidR="00DA7C76">
        <w:t xml:space="preserve"> More extensive spring-planted assessments in regional yield trials are underway. </w:t>
      </w:r>
    </w:p>
    <w:p w14:paraId="4C55D423" w14:textId="4AD75471" w:rsidR="00E274E4" w:rsidRPr="00B127A0" w:rsidRDefault="00C419E6" w:rsidP="00B127A0">
      <w:pPr>
        <w:spacing w:after="240" w:line="480" w:lineRule="auto"/>
      </w:pPr>
      <w:r w:rsidRPr="00B127A0">
        <w:t xml:space="preserve">DH130910 </w:t>
      </w:r>
      <w:r w:rsidR="00E274E4" w:rsidRPr="00B127A0">
        <w:t xml:space="preserve">has passed </w:t>
      </w:r>
      <w:r w:rsidR="007C4D5A">
        <w:t xml:space="preserve">its first year of </w:t>
      </w:r>
      <w:r w:rsidR="00E274E4" w:rsidRPr="00B127A0">
        <w:t xml:space="preserve">the American Malting Barley </w:t>
      </w:r>
      <w:r w:rsidR="001B2E77" w:rsidRPr="00B127A0">
        <w:t xml:space="preserve">Association </w:t>
      </w:r>
      <w:r w:rsidR="00E274E4" w:rsidRPr="00B127A0">
        <w:t xml:space="preserve">(AMBA) pilot </w:t>
      </w:r>
      <w:r w:rsidRPr="00B127A0">
        <w:t>scale program</w:t>
      </w:r>
      <w:r w:rsidR="007C4D5A">
        <w:t xml:space="preserve"> </w:t>
      </w:r>
      <w:r w:rsidR="00790D65">
        <w:t xml:space="preserve">and was </w:t>
      </w:r>
      <w:r w:rsidR="007C4D5A">
        <w:t xml:space="preserve">rated as satisfactory. At this time, </w:t>
      </w:r>
      <w:r w:rsidR="00DA7C76">
        <w:t xml:space="preserve">the </w:t>
      </w:r>
      <w:r w:rsidR="007C4D5A">
        <w:t xml:space="preserve">AMBA approval </w:t>
      </w:r>
      <w:r w:rsidR="00DA7C76">
        <w:t xml:space="preserve">process is focused on fall-planted samples </w:t>
      </w:r>
      <w:r w:rsidR="00D27805">
        <w:t xml:space="preserve">of </w:t>
      </w:r>
      <w:r w:rsidR="007C4D5A" w:rsidRPr="00B127A0">
        <w:t>DH130910</w:t>
      </w:r>
      <w:r w:rsidR="00DA7C76">
        <w:t xml:space="preserve">. </w:t>
      </w:r>
      <w:r w:rsidR="00E274E4" w:rsidRPr="00B127A0">
        <w:t xml:space="preserve">The proposed name for </w:t>
      </w:r>
      <w:r w:rsidRPr="00B127A0">
        <w:t xml:space="preserve">DH130910 </w:t>
      </w:r>
      <w:r w:rsidR="00E274E4" w:rsidRPr="00B127A0">
        <w:t xml:space="preserve">is </w:t>
      </w:r>
      <w:r w:rsidR="00215460">
        <w:t>‘</w:t>
      </w:r>
      <w:r w:rsidR="000A0541" w:rsidRPr="006077DE">
        <w:t>Lightning</w:t>
      </w:r>
      <w:r w:rsidR="00215460">
        <w:t>’</w:t>
      </w:r>
      <w:r w:rsidR="00E274E4" w:rsidRPr="006077DE">
        <w:t xml:space="preserve">, </w:t>
      </w:r>
      <w:r w:rsidR="006077DE">
        <w:t>continuing in</w:t>
      </w:r>
      <w:r w:rsidR="000A0541" w:rsidRPr="006077DE">
        <w:t xml:space="preserve"> the </w:t>
      </w:r>
      <w:r w:rsidR="00215460">
        <w:t>‘</w:t>
      </w:r>
      <w:r w:rsidR="000A0541" w:rsidRPr="006077DE">
        <w:t>Thunder</w:t>
      </w:r>
      <w:r w:rsidR="00215460">
        <w:t>’</w:t>
      </w:r>
      <w:r w:rsidR="000A0541" w:rsidRPr="006077DE">
        <w:t xml:space="preserve"> tradition</w:t>
      </w:r>
      <w:r w:rsidR="00DA7C76">
        <w:t xml:space="preserve"> and emphasizing the potential of facultative varieties as a tool for addressing the need for stable supplies of malting barley </w:t>
      </w:r>
      <w:r w:rsidR="00790D65">
        <w:t>as the</w:t>
      </w:r>
      <w:r w:rsidR="00DA7C76">
        <w:t xml:space="preserve"> climate change</w:t>
      </w:r>
      <w:r w:rsidR="00790D65">
        <w:t>s</w:t>
      </w:r>
      <w:r w:rsidR="00DA7C76">
        <w:t xml:space="preserve">. </w:t>
      </w:r>
      <w:r w:rsidR="00E274E4" w:rsidRPr="006077DE">
        <w:t>This name is approved by the USDA.</w:t>
      </w:r>
      <w:r w:rsidR="00E274E4" w:rsidRPr="00B127A0">
        <w:t xml:space="preserve"> </w:t>
      </w:r>
    </w:p>
    <w:p w14:paraId="794F93F3" w14:textId="161AC340" w:rsidR="00B127A0" w:rsidRDefault="00C419E6" w:rsidP="00B127A0">
      <w:pPr>
        <w:spacing w:after="240" w:line="480" w:lineRule="auto"/>
      </w:pPr>
      <w:r w:rsidRPr="00B127A0">
        <w:t xml:space="preserve">DH130910 </w:t>
      </w:r>
      <w:r w:rsidR="00E274E4" w:rsidRPr="00B127A0">
        <w:t>is a rough-</w:t>
      </w:r>
      <w:proofErr w:type="spellStart"/>
      <w:r w:rsidR="00E274E4" w:rsidRPr="00B127A0">
        <w:t>awned</w:t>
      </w:r>
      <w:proofErr w:type="spellEnd"/>
      <w:r w:rsidR="00E274E4" w:rsidRPr="00B127A0">
        <w:t xml:space="preserve">, two-row </w:t>
      </w:r>
      <w:r w:rsidRPr="00B127A0">
        <w:t>facultative</w:t>
      </w:r>
      <w:r w:rsidR="00E274E4" w:rsidRPr="00B127A0">
        <w:t xml:space="preserve"> barley with</w:t>
      </w:r>
      <w:r w:rsidR="00AC303E" w:rsidRPr="00B127A0">
        <w:t xml:space="preserve"> </w:t>
      </w:r>
      <w:r w:rsidRPr="00B127A0">
        <w:t>long</w:t>
      </w:r>
      <w:r w:rsidR="00AC303E" w:rsidRPr="00B127A0">
        <w:t xml:space="preserve"> rachilla hairs</w:t>
      </w:r>
      <w:r w:rsidR="006169F0">
        <w:t>, white auricle</w:t>
      </w:r>
      <w:r w:rsidR="00790D65">
        <w:t>s</w:t>
      </w:r>
      <w:r w:rsidR="006169F0">
        <w:t>, closed collar</w:t>
      </w:r>
      <w:r w:rsidR="00790D65">
        <w:t>s</w:t>
      </w:r>
      <w:r w:rsidR="006169F0">
        <w:t>, pubescent leaf shea</w:t>
      </w:r>
      <w:r w:rsidR="00790D65">
        <w:t>ves</w:t>
      </w:r>
      <w:r w:rsidR="006169F0">
        <w:t>, and glabrous leaf blade</w:t>
      </w:r>
      <w:r w:rsidR="00790D65">
        <w:t>s</w:t>
      </w:r>
      <w:r w:rsidR="006169F0">
        <w:t xml:space="preserve">. </w:t>
      </w:r>
      <w:r w:rsidR="00E274E4" w:rsidRPr="00B127A0">
        <w:t xml:space="preserve">It is a doubled haploid derived from the F1 of the cross </w:t>
      </w:r>
      <w:r w:rsidRPr="00B127A0">
        <w:t>TC6W265</w:t>
      </w:r>
      <w:r w:rsidR="00790D65">
        <w:t>/</w:t>
      </w:r>
      <w:r w:rsidRPr="00B127A0">
        <w:t>29494_2991</w:t>
      </w:r>
      <w:r w:rsidR="00E274E4" w:rsidRPr="00B127A0">
        <w:t xml:space="preserve">. </w:t>
      </w:r>
      <w:r w:rsidRPr="00B127A0">
        <w:t>TC6W265 is a six</w:t>
      </w:r>
      <w:r w:rsidR="00E274E4" w:rsidRPr="00B127A0">
        <w:t xml:space="preserve">-row </w:t>
      </w:r>
      <w:r w:rsidRPr="00B127A0">
        <w:t>facultative</w:t>
      </w:r>
      <w:r w:rsidR="00E274E4" w:rsidRPr="00B127A0">
        <w:t xml:space="preserve"> barley </w:t>
      </w:r>
      <w:r w:rsidR="00790D65">
        <w:t xml:space="preserve">breeding line </w:t>
      </w:r>
      <w:r w:rsidR="00E274E4" w:rsidRPr="00B127A0">
        <w:t xml:space="preserve">developed by </w:t>
      </w:r>
      <w:r w:rsidRPr="00B127A0">
        <w:t>OSU</w:t>
      </w:r>
      <w:r w:rsidR="00E274E4" w:rsidRPr="00B127A0">
        <w:t xml:space="preserve">. </w:t>
      </w:r>
      <w:r w:rsidR="00B127A0" w:rsidRPr="00B127A0">
        <w:t>29494_2991</w:t>
      </w:r>
      <w:r w:rsidR="00B127A0">
        <w:t xml:space="preserve"> is a</w:t>
      </w:r>
      <w:r w:rsidR="006077DE">
        <w:t>n experimental</w:t>
      </w:r>
      <w:r w:rsidR="00B127A0" w:rsidRPr="00B127A0">
        <w:t xml:space="preserve"> winter two-row barley </w:t>
      </w:r>
      <w:r w:rsidR="00E274E4" w:rsidRPr="00B127A0">
        <w:t xml:space="preserve">developed </w:t>
      </w:r>
      <w:r w:rsidR="00B127A0" w:rsidRPr="00B127A0">
        <w:t xml:space="preserve">from the program of Markus </w:t>
      </w:r>
      <w:proofErr w:type="spellStart"/>
      <w:r w:rsidR="00B127A0" w:rsidRPr="00B127A0">
        <w:t>Herz</w:t>
      </w:r>
      <w:proofErr w:type="spellEnd"/>
      <w:r w:rsidR="00B127A0" w:rsidRPr="00B127A0">
        <w:t xml:space="preserve"> (Germany)</w:t>
      </w:r>
      <w:r w:rsidR="00E274E4" w:rsidRPr="00B127A0">
        <w:t xml:space="preserve">. The cross </w:t>
      </w:r>
      <w:r w:rsidR="009F47E4" w:rsidRPr="00B127A0">
        <w:t xml:space="preserve">between </w:t>
      </w:r>
      <w:r w:rsidR="00B127A0" w:rsidRPr="00B127A0">
        <w:t>TC6W265</w:t>
      </w:r>
      <w:r w:rsidR="00B127A0">
        <w:t xml:space="preserve"> </w:t>
      </w:r>
      <w:r w:rsidR="009F47E4" w:rsidRPr="00B127A0">
        <w:t xml:space="preserve">and </w:t>
      </w:r>
      <w:r w:rsidR="00B127A0" w:rsidRPr="00B127A0">
        <w:t>29494_2991</w:t>
      </w:r>
      <w:r w:rsidR="00B127A0">
        <w:t xml:space="preserve"> was made in 2012</w:t>
      </w:r>
      <w:r w:rsidR="00E274E4" w:rsidRPr="00B127A0">
        <w:t xml:space="preserve"> at Oregon State University</w:t>
      </w:r>
      <w:r w:rsidR="00B127A0">
        <w:t xml:space="preserve"> and the doubled haploids were produced in 2013.</w:t>
      </w:r>
    </w:p>
    <w:p w14:paraId="5868BD99" w14:textId="77A73ECB" w:rsidR="006E7928" w:rsidRDefault="00F64FAA" w:rsidP="00B127A0">
      <w:pPr>
        <w:spacing w:after="240" w:line="480" w:lineRule="auto"/>
      </w:pPr>
      <w:r>
        <w:lastRenderedPageBreak/>
        <w:t xml:space="preserve">From 2013 to 2016, </w:t>
      </w:r>
      <w:r w:rsidR="00B127A0" w:rsidRPr="00B127A0">
        <w:t>DH130910 advanced through mini-plot, preliminary, and advanced yield trials in the Willamette Valley of Oregon</w:t>
      </w:r>
      <w:r w:rsidR="00DB4491">
        <w:t>,</w:t>
      </w:r>
      <w:r w:rsidR="00B127A0" w:rsidRPr="00B127A0">
        <w:t xml:space="preserve"> based on agronomic and malting quality performance. </w:t>
      </w:r>
      <w:r w:rsidR="00DB4491">
        <w:t xml:space="preserve">After the 2016 harvest, </w:t>
      </w:r>
      <w:r w:rsidR="00DB4491" w:rsidRPr="00B127A0">
        <w:t>DH130910</w:t>
      </w:r>
      <w:r w:rsidR="00DB4491">
        <w:t xml:space="preserve"> </w:t>
      </w:r>
      <w:r w:rsidR="00B127A0" w:rsidRPr="00B127A0">
        <w:t xml:space="preserve">progressed to </w:t>
      </w:r>
      <w:r>
        <w:t xml:space="preserve">regional and national trials. </w:t>
      </w:r>
      <w:r w:rsidR="002352CE">
        <w:t>DH130910 was included in the WMBT for three years (</w:t>
      </w:r>
      <w:r w:rsidRPr="00B127A0">
        <w:t>2016-17, 2017-18</w:t>
      </w:r>
      <w:r>
        <w:t>, 2018-19</w:t>
      </w:r>
      <w:r w:rsidR="002352CE">
        <w:t>)</w:t>
      </w:r>
      <w:r>
        <w:t xml:space="preserve"> and the fourth year (2019-20) is underway. Two years of trials (</w:t>
      </w:r>
      <w:r w:rsidR="00B127A0" w:rsidRPr="00B127A0">
        <w:t>2017-18 and 2018-19</w:t>
      </w:r>
      <w:r>
        <w:t xml:space="preserve">) have been conducted </w:t>
      </w:r>
      <w:r w:rsidR="003D107E">
        <w:t>with University of</w:t>
      </w:r>
      <w:r w:rsidR="00B127A0" w:rsidRPr="00B127A0">
        <w:t xml:space="preserve"> Idaho Extension</w:t>
      </w:r>
      <w:r>
        <w:t>,</w:t>
      </w:r>
      <w:r w:rsidR="00B127A0" w:rsidRPr="00B127A0">
        <w:t xml:space="preserve"> and the</w:t>
      </w:r>
      <w:r>
        <w:t xml:space="preserve"> third year (</w:t>
      </w:r>
      <w:r w:rsidR="00B127A0" w:rsidRPr="00B127A0">
        <w:t>2019-20</w:t>
      </w:r>
      <w:r>
        <w:t>) is underway</w:t>
      </w:r>
      <w:r w:rsidR="00B127A0" w:rsidRPr="00B127A0">
        <w:t xml:space="preserve">. </w:t>
      </w:r>
      <w:r w:rsidR="007C4D5A">
        <w:t>O</w:t>
      </w:r>
      <w:r w:rsidR="007C4D5A" w:rsidRPr="00B127A0">
        <w:t xml:space="preserve">n-farm trials </w:t>
      </w:r>
      <w:r w:rsidR="007C4D5A">
        <w:t xml:space="preserve">were conducted </w:t>
      </w:r>
      <w:r w:rsidR="007C4D5A" w:rsidRPr="00B127A0">
        <w:t xml:space="preserve">in Idaho and Oregon </w:t>
      </w:r>
      <w:r w:rsidR="007C4D5A">
        <w:t>in</w:t>
      </w:r>
      <w:r w:rsidR="007C4D5A" w:rsidRPr="00B127A0">
        <w:t xml:space="preserve"> </w:t>
      </w:r>
      <w:r w:rsidR="00B127A0" w:rsidRPr="00B127A0">
        <w:t>2018-19 and</w:t>
      </w:r>
      <w:r w:rsidR="007C4D5A">
        <w:t xml:space="preserve"> more are being grown</w:t>
      </w:r>
      <w:r w:rsidR="00B127A0" w:rsidRPr="00B127A0">
        <w:t xml:space="preserve"> in 2019-20. </w:t>
      </w:r>
      <w:r w:rsidR="00FC3E5C">
        <w:t>In New York, DH130910 has been tested in state-wide trials for winter barley from 2017 to 2019</w:t>
      </w:r>
      <w:r w:rsidR="00DA7C76">
        <w:t xml:space="preserve"> </w:t>
      </w:r>
      <w:r w:rsidR="00FC3E5C">
        <w:t>and in spring trials in 2018 and 2019.</w:t>
      </w:r>
    </w:p>
    <w:p w14:paraId="15851555" w14:textId="26215726" w:rsidR="00552F81" w:rsidRPr="00B127A0" w:rsidRDefault="00552F81" w:rsidP="00B127A0">
      <w:pPr>
        <w:spacing w:after="240" w:line="480" w:lineRule="auto"/>
        <w:rPr>
          <w:b/>
        </w:rPr>
      </w:pPr>
      <w:r w:rsidRPr="00B127A0">
        <w:rPr>
          <w:b/>
        </w:rPr>
        <w:t>Agronomic performance</w:t>
      </w:r>
    </w:p>
    <w:p w14:paraId="6ABAA7DA" w14:textId="61EB33E8" w:rsidR="007933D9" w:rsidRDefault="007933D9" w:rsidP="00B127A0">
      <w:pPr>
        <w:spacing w:after="240" w:line="480" w:lineRule="auto"/>
      </w:pPr>
      <w:r>
        <w:t xml:space="preserve">Agronomic data across all experiment years are summarized for </w:t>
      </w:r>
      <w:r w:rsidR="00177FD1">
        <w:t xml:space="preserve">Western </w:t>
      </w:r>
      <w:r w:rsidR="006564D8" w:rsidRPr="00664436">
        <w:t>Oregon</w:t>
      </w:r>
      <w:r w:rsidRPr="00664436">
        <w:t xml:space="preserve"> (Table </w:t>
      </w:r>
      <w:r w:rsidR="00D7765A" w:rsidRPr="00766DB3">
        <w:t>1</w:t>
      </w:r>
      <w:r w:rsidRPr="00664436">
        <w:t>),</w:t>
      </w:r>
      <w:r>
        <w:t xml:space="preserve"> the multi-location Winter Malting Barley Trial</w:t>
      </w:r>
      <w:r w:rsidR="0062610C">
        <w:t xml:space="preserve"> (WMBT)</w:t>
      </w:r>
      <w:r>
        <w:t xml:space="preserve"> (Table </w:t>
      </w:r>
      <w:r w:rsidR="00D7765A">
        <w:t>2</w:t>
      </w:r>
      <w:r>
        <w:t>), and the two Idaho locations (Table</w:t>
      </w:r>
      <w:r w:rsidR="00E02D96">
        <w:t xml:space="preserve"> </w:t>
      </w:r>
      <w:r w:rsidR="00D7765A">
        <w:t>3</w:t>
      </w:r>
      <w:r w:rsidR="00E02D96">
        <w:t xml:space="preserve">). The </w:t>
      </w:r>
      <w:r w:rsidR="00FC3E5C">
        <w:t xml:space="preserve">greatest </w:t>
      </w:r>
      <w:r w:rsidR="00E02D96">
        <w:t>strength of DH</w:t>
      </w:r>
      <w:r>
        <w:t xml:space="preserve">130910 is </w:t>
      </w:r>
      <w:r w:rsidR="00AB4087">
        <w:t xml:space="preserve">grain </w:t>
      </w:r>
      <w:r>
        <w:t xml:space="preserve">yield. </w:t>
      </w:r>
      <w:r w:rsidR="0087257C">
        <w:t>On average, a</w:t>
      </w:r>
      <w:r w:rsidR="00E02D96">
        <w:t>cross all experiment years, DH</w:t>
      </w:r>
      <w:r>
        <w:t>130910 yielded higher than both checks at all locations.</w:t>
      </w:r>
      <w:r w:rsidR="0087257C">
        <w:t xml:space="preserve"> Test weight, which was measured only </w:t>
      </w:r>
      <w:proofErr w:type="gramStart"/>
      <w:r w:rsidR="006564D8">
        <w:t xml:space="preserve">in </w:t>
      </w:r>
      <w:r w:rsidR="00623D44">
        <w:t xml:space="preserve"> </w:t>
      </w:r>
      <w:r w:rsidR="00742B2A">
        <w:t>Western</w:t>
      </w:r>
      <w:proofErr w:type="gramEnd"/>
      <w:r w:rsidR="00742B2A">
        <w:t xml:space="preserve"> </w:t>
      </w:r>
      <w:r w:rsidR="00623D44">
        <w:t>Oregon</w:t>
      </w:r>
      <w:r w:rsidR="00E02D96">
        <w:t xml:space="preserve">, was considerably higher </w:t>
      </w:r>
      <w:r w:rsidR="00623D44">
        <w:t>for</w:t>
      </w:r>
      <w:r w:rsidR="00E02D96">
        <w:t xml:space="preserve"> DH</w:t>
      </w:r>
      <w:r w:rsidR="0087257C">
        <w:t xml:space="preserve">130910, compared to </w:t>
      </w:r>
      <w:r w:rsidR="002352CE">
        <w:t xml:space="preserve">the </w:t>
      </w:r>
      <w:r w:rsidR="0087257C">
        <w:t xml:space="preserve">checks. Heading time was </w:t>
      </w:r>
      <w:proofErr w:type="gramStart"/>
      <w:r w:rsidR="0087257C">
        <w:t>similar to</w:t>
      </w:r>
      <w:proofErr w:type="gramEnd"/>
      <w:r w:rsidR="0087257C">
        <w:t xml:space="preserve"> that observed in checks. </w:t>
      </w:r>
      <w:r w:rsidR="00E02D96">
        <w:t>The relative plant height of DH</w:t>
      </w:r>
      <w:r w:rsidR="0087257C">
        <w:t xml:space="preserve">130910 varied with location. </w:t>
      </w:r>
      <w:r w:rsidR="006564D8">
        <w:t xml:space="preserve">In the </w:t>
      </w:r>
      <w:r w:rsidR="0062610C">
        <w:t>WMBT</w:t>
      </w:r>
      <w:r w:rsidR="006564D8">
        <w:t xml:space="preserve"> and in the Idaho</w:t>
      </w:r>
      <w:r w:rsidR="00E02D96">
        <w:t xml:space="preserve"> locations, DH</w:t>
      </w:r>
      <w:r w:rsidR="006564D8">
        <w:t xml:space="preserve">130910 was similar or slightly taller than the checks, whereas in </w:t>
      </w:r>
      <w:r w:rsidR="00742B2A">
        <w:t xml:space="preserve">Western </w:t>
      </w:r>
      <w:r w:rsidR="00623D44">
        <w:t>Oregon</w:t>
      </w:r>
      <w:r w:rsidR="006564D8">
        <w:t xml:space="preserve"> it was 6 inches taller. Taller plants, however, did not result in increased lodging (Table </w:t>
      </w:r>
      <w:r w:rsidR="00623D44">
        <w:t>1</w:t>
      </w:r>
      <w:r w:rsidR="006564D8">
        <w:t xml:space="preserve">). </w:t>
      </w:r>
      <w:r w:rsidR="0062610C">
        <w:t>On average, lodging scores were similar across all entries in</w:t>
      </w:r>
      <w:r w:rsidR="00742B2A">
        <w:t xml:space="preserve"> Western</w:t>
      </w:r>
      <w:r w:rsidR="0062610C">
        <w:t xml:space="preserve"> </w:t>
      </w:r>
      <w:r w:rsidR="00623D44">
        <w:t>Oregon</w:t>
      </w:r>
      <w:r w:rsidR="0062610C">
        <w:t xml:space="preserve">, slightly lower for </w:t>
      </w:r>
      <w:r w:rsidR="00215460">
        <w:t>‘</w:t>
      </w:r>
      <w:r w:rsidR="0062610C">
        <w:t>Wintmalt</w:t>
      </w:r>
      <w:r w:rsidR="00215460">
        <w:t>’</w:t>
      </w:r>
      <w:r w:rsidR="0062610C">
        <w:t xml:space="preserve"> in the WMBT</w:t>
      </w:r>
      <w:r w:rsidR="00E02D96">
        <w:t>, and considerably lower for DH</w:t>
      </w:r>
      <w:r w:rsidR="0062610C">
        <w:t xml:space="preserve">130910 in Idaho. </w:t>
      </w:r>
    </w:p>
    <w:p w14:paraId="7B22F0CA" w14:textId="0CD20047" w:rsidR="008F0BA2" w:rsidRDefault="008F0BA2" w:rsidP="008F0BA2">
      <w:pPr>
        <w:spacing w:after="240" w:line="480" w:lineRule="auto"/>
      </w:pPr>
      <w:r w:rsidRPr="00B127A0">
        <w:lastRenderedPageBreak/>
        <w:t xml:space="preserve">In summary, </w:t>
      </w:r>
      <w:r w:rsidR="00E02D96">
        <w:t>DH</w:t>
      </w:r>
      <w:r>
        <w:t xml:space="preserve">130910 </w:t>
      </w:r>
      <w:r w:rsidRPr="00B127A0">
        <w:t xml:space="preserve">is </w:t>
      </w:r>
      <w:r>
        <w:t xml:space="preserve">higher yielding </w:t>
      </w:r>
      <w:r w:rsidR="00AB4087">
        <w:t xml:space="preserve">than </w:t>
      </w:r>
      <w:r>
        <w:t xml:space="preserve">both </w:t>
      </w:r>
      <w:r w:rsidRPr="00B127A0">
        <w:t>checks under all production systems</w:t>
      </w:r>
      <w:r w:rsidR="00DA7C76">
        <w:t xml:space="preserve"> in the Pacific Northwest</w:t>
      </w:r>
      <w:r w:rsidRPr="00B127A0">
        <w:t>.</w:t>
      </w:r>
      <w:r w:rsidR="00742B2A">
        <w:t xml:space="preserve"> Western</w:t>
      </w:r>
      <w:r w:rsidRPr="00B127A0">
        <w:t xml:space="preserve"> </w:t>
      </w:r>
      <w:r w:rsidR="00BA1B05">
        <w:t>Oregon data</w:t>
      </w:r>
      <w:r>
        <w:t xml:space="preserve"> represents a high-rain</w:t>
      </w:r>
      <w:r w:rsidR="006077DE">
        <w:t xml:space="preserve">fall system, </w:t>
      </w:r>
      <w:r>
        <w:t>Aberde</w:t>
      </w:r>
      <w:r w:rsidR="00DA7C76">
        <w:t>e</w:t>
      </w:r>
      <w:r>
        <w:t>n and Ru</w:t>
      </w:r>
      <w:r w:rsidR="00DA7C76">
        <w:t>p</w:t>
      </w:r>
      <w:r>
        <w:t xml:space="preserve">ert </w:t>
      </w:r>
      <w:r w:rsidR="006077DE">
        <w:t xml:space="preserve">represent irrigated conditions, and the WMBT represents a wide range of systems across the US. </w:t>
      </w:r>
      <w:r>
        <w:t>The excell</w:t>
      </w:r>
      <w:r w:rsidR="00E02D96">
        <w:t>ent agronomic performance of DH</w:t>
      </w:r>
      <w:r>
        <w:t xml:space="preserve">130910 across these locations </w:t>
      </w:r>
      <w:r w:rsidR="00DB4491">
        <w:t>indicates that</w:t>
      </w:r>
      <w:r>
        <w:t xml:space="preserve"> it</w:t>
      </w:r>
      <w:r w:rsidR="00DB4491">
        <w:t xml:space="preserve"> is adapted</w:t>
      </w:r>
      <w:r>
        <w:t xml:space="preserve"> to a range of environmental conditions.</w:t>
      </w:r>
      <w:r w:rsidR="00DA7C76">
        <w:t xml:space="preserve"> </w:t>
      </w:r>
    </w:p>
    <w:p w14:paraId="07E5D1D2" w14:textId="514D56DF" w:rsidR="001147F9" w:rsidRDefault="001147F9" w:rsidP="008F0BA2">
      <w:pPr>
        <w:spacing w:after="240" w:line="480" w:lineRule="auto"/>
      </w:pPr>
      <w:r>
        <w:t xml:space="preserve">In New York, over three years of state-wide winter barley trials, DH130910 grain yields </w:t>
      </w:r>
      <w:r w:rsidR="002352CE">
        <w:t>were</w:t>
      </w:r>
      <w:r>
        <w:t xml:space="preserve"> 9% above the mean of current check varieties, </w:t>
      </w:r>
      <w:r w:rsidR="00215460">
        <w:t>‘</w:t>
      </w:r>
      <w:r>
        <w:t>KWS Scala</w:t>
      </w:r>
      <w:r w:rsidR="00215460">
        <w:t>’</w:t>
      </w:r>
      <w:r>
        <w:t xml:space="preserve"> and </w:t>
      </w:r>
      <w:r w:rsidR="00215460">
        <w:t>‘</w:t>
      </w:r>
      <w:r>
        <w:t>Endeavor</w:t>
      </w:r>
      <w:r w:rsidR="00215460">
        <w:t>’</w:t>
      </w:r>
      <w:r w:rsidR="00BE694A">
        <w:t xml:space="preserve"> (Table </w:t>
      </w:r>
      <w:r w:rsidR="00BA1B05">
        <w:t>4</w:t>
      </w:r>
      <w:r w:rsidR="00BE694A">
        <w:t>)</w:t>
      </w:r>
      <w:r>
        <w:t xml:space="preserve">.  In two years of state-wide spring barley trials, DH130910 grain yields </w:t>
      </w:r>
      <w:r w:rsidR="002352CE">
        <w:t>were</w:t>
      </w:r>
      <w:r>
        <w:t xml:space="preserve"> 19% less than the mean of current check varieties, </w:t>
      </w:r>
      <w:r w:rsidR="00215460">
        <w:t>‘</w:t>
      </w:r>
      <w:r>
        <w:t xml:space="preserve">KWS </w:t>
      </w:r>
      <w:proofErr w:type="spellStart"/>
      <w:r>
        <w:t>Tinka</w:t>
      </w:r>
      <w:proofErr w:type="spellEnd"/>
      <w:r w:rsidR="00215460">
        <w:t>’</w:t>
      </w:r>
      <w:r>
        <w:t xml:space="preserve"> and </w:t>
      </w:r>
      <w:r w:rsidR="00215460">
        <w:t>‘</w:t>
      </w:r>
      <w:r>
        <w:t>AAC Synergy</w:t>
      </w:r>
      <w:r w:rsidR="00215460">
        <w:t>’</w:t>
      </w:r>
      <w:r>
        <w:t>.</w:t>
      </w:r>
      <w:r w:rsidR="00017573">
        <w:t xml:space="preserve"> DH130910 had </w:t>
      </w:r>
      <w:r w:rsidR="002352CE">
        <w:t xml:space="preserve">a </w:t>
      </w:r>
      <w:r w:rsidR="00017573">
        <w:t>higher test weight, was two days earlier to head out</w:t>
      </w:r>
      <w:r w:rsidR="002352CE">
        <w:t>,</w:t>
      </w:r>
      <w:r w:rsidR="00017573">
        <w:t xml:space="preserve"> and</w:t>
      </w:r>
      <w:r w:rsidR="002352CE">
        <w:t xml:space="preserve"> was </w:t>
      </w:r>
      <w:r w:rsidR="00017573">
        <w:t xml:space="preserve">more </w:t>
      </w:r>
      <w:r w:rsidR="002352CE">
        <w:t xml:space="preserve">resistant to </w:t>
      </w:r>
      <w:r w:rsidR="00017573">
        <w:t xml:space="preserve">lodging than either check. </w:t>
      </w:r>
      <w:r w:rsidR="00A15494">
        <w:t xml:space="preserve">It was </w:t>
      </w:r>
      <w:proofErr w:type="gramStart"/>
      <w:r w:rsidR="00A15494">
        <w:t>similar to</w:t>
      </w:r>
      <w:proofErr w:type="gramEnd"/>
      <w:r w:rsidR="00A15494">
        <w:t xml:space="preserve"> KWS Scala for height and 4 inches shorter than Endeavor.</w:t>
      </w:r>
    </w:p>
    <w:p w14:paraId="7C9ED85B" w14:textId="6FB56919" w:rsidR="007933D9" w:rsidRPr="00341082"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66DB3">
        <w:rPr>
          <w:b/>
        </w:rPr>
        <w:t xml:space="preserve">Table </w:t>
      </w:r>
      <w:r w:rsidR="00DB1198" w:rsidRPr="00766DB3">
        <w:rPr>
          <w:b/>
        </w:rPr>
        <w:t>1</w:t>
      </w:r>
      <w:r w:rsidRPr="00E452D7">
        <w:rPr>
          <w:b/>
        </w:rPr>
        <w:t>.</w:t>
      </w:r>
      <w:r w:rsidRPr="00341082">
        <w:rPr>
          <w:b/>
        </w:rPr>
        <w:t xml:space="preserve"> </w:t>
      </w:r>
      <w:r w:rsidRPr="00341082">
        <w:t>Agronomic performance of fall planted DH130910 compared to check cultivars. Average of 2014-201</w:t>
      </w:r>
      <w:r w:rsidRPr="00F527EF">
        <w:t>9</w:t>
      </w:r>
      <w:r w:rsidRPr="00341082">
        <w:t xml:space="preserve"> trials in </w:t>
      </w:r>
      <w:r w:rsidR="008B63A2">
        <w:t xml:space="preserve">Western </w:t>
      </w:r>
      <w:r w:rsidRPr="00341082">
        <w:t>Oregon</w:t>
      </w:r>
      <w:r w:rsidR="008B63A2">
        <w:t xml:space="preserve"> (Corvallis and Lebanon)</w:t>
      </w:r>
      <w:r w:rsidRPr="00341082">
        <w:t xml:space="preserve">. </w:t>
      </w:r>
    </w:p>
    <w:p w14:paraId="74DF1D35" w14:textId="77777777" w:rsidR="007933D9" w:rsidRPr="00F527EF"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highlight w:val="yellow"/>
        </w:rPr>
      </w:pPr>
    </w:p>
    <w:tbl>
      <w:tblPr>
        <w:tblStyle w:val="TableGrid"/>
        <w:tblW w:w="0" w:type="auto"/>
        <w:tblLook w:val="04A0" w:firstRow="1" w:lastRow="0" w:firstColumn="1" w:lastColumn="0" w:noHBand="0" w:noVBand="1"/>
      </w:tblPr>
      <w:tblGrid>
        <w:gridCol w:w="1310"/>
        <w:gridCol w:w="1083"/>
        <w:gridCol w:w="1397"/>
        <w:gridCol w:w="1423"/>
        <w:gridCol w:w="1030"/>
        <w:gridCol w:w="1312"/>
        <w:gridCol w:w="750"/>
      </w:tblGrid>
      <w:tr w:rsidR="007933D9" w:rsidRPr="0087257C" w14:paraId="613174C3" w14:textId="77777777" w:rsidTr="00766DB3">
        <w:tc>
          <w:tcPr>
            <w:tcW w:w="0" w:type="auto"/>
          </w:tcPr>
          <w:p w14:paraId="2E7067BA"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 xml:space="preserve">Entry </w:t>
            </w:r>
          </w:p>
        </w:tc>
        <w:tc>
          <w:tcPr>
            <w:tcW w:w="0" w:type="auto"/>
          </w:tcPr>
          <w:p w14:paraId="29480C95"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 xml:space="preserve">Yield </w:t>
            </w:r>
          </w:p>
          <w:p w14:paraId="4C178AF1"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w:t>
            </w:r>
            <w:proofErr w:type="spellStart"/>
            <w:r w:rsidRPr="0087257C">
              <w:rPr>
                <w:sz w:val="24"/>
                <w:szCs w:val="24"/>
              </w:rPr>
              <w:t>bu</w:t>
            </w:r>
            <w:proofErr w:type="spellEnd"/>
            <w:r w:rsidRPr="0087257C">
              <w:rPr>
                <w:sz w:val="24"/>
                <w:szCs w:val="24"/>
              </w:rPr>
              <w:t>/acre)</w:t>
            </w:r>
          </w:p>
        </w:tc>
        <w:tc>
          <w:tcPr>
            <w:tcW w:w="1397" w:type="dxa"/>
          </w:tcPr>
          <w:p w14:paraId="3E3A1F1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Test Weight</w:t>
            </w:r>
          </w:p>
          <w:p w14:paraId="56C7592C"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w:t>
            </w:r>
            <w:proofErr w:type="spellStart"/>
            <w:r w:rsidRPr="0087257C">
              <w:rPr>
                <w:sz w:val="24"/>
                <w:szCs w:val="24"/>
              </w:rPr>
              <w:t>lbs</w:t>
            </w:r>
            <w:proofErr w:type="spellEnd"/>
            <w:r w:rsidRPr="0087257C">
              <w:rPr>
                <w:sz w:val="24"/>
                <w:szCs w:val="24"/>
              </w:rPr>
              <w:t>/</w:t>
            </w:r>
            <w:proofErr w:type="spellStart"/>
            <w:r w:rsidRPr="0087257C">
              <w:rPr>
                <w:sz w:val="24"/>
                <w:szCs w:val="24"/>
              </w:rPr>
              <w:t>bu</w:t>
            </w:r>
            <w:proofErr w:type="spellEnd"/>
            <w:r w:rsidRPr="0087257C">
              <w:rPr>
                <w:sz w:val="24"/>
                <w:szCs w:val="24"/>
              </w:rPr>
              <w:t>)</w:t>
            </w:r>
          </w:p>
        </w:tc>
        <w:tc>
          <w:tcPr>
            <w:tcW w:w="0" w:type="auto"/>
          </w:tcPr>
          <w:p w14:paraId="38B4C015"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 xml:space="preserve">Plant Height </w:t>
            </w:r>
          </w:p>
          <w:p w14:paraId="0939A9F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(in)</w:t>
            </w:r>
          </w:p>
        </w:tc>
        <w:tc>
          <w:tcPr>
            <w:tcW w:w="1030" w:type="dxa"/>
          </w:tcPr>
          <w:p w14:paraId="043A3563"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Lodging (1-9)</w:t>
            </w:r>
          </w:p>
        </w:tc>
        <w:tc>
          <w:tcPr>
            <w:tcW w:w="1312" w:type="dxa"/>
          </w:tcPr>
          <w:p w14:paraId="481EC379"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Stripe Rust (%)</w:t>
            </w:r>
          </w:p>
        </w:tc>
        <w:tc>
          <w:tcPr>
            <w:tcW w:w="652" w:type="dxa"/>
          </w:tcPr>
          <w:p w14:paraId="5F3DCEC0"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Scald (%)</w:t>
            </w:r>
          </w:p>
        </w:tc>
      </w:tr>
      <w:tr w:rsidR="007933D9" w:rsidRPr="0087257C" w14:paraId="67DE40B0" w14:textId="77777777" w:rsidTr="00766DB3">
        <w:tc>
          <w:tcPr>
            <w:tcW w:w="0" w:type="auto"/>
            <w:vAlign w:val="bottom"/>
          </w:tcPr>
          <w:p w14:paraId="415954F3" w14:textId="77777777" w:rsidR="007933D9" w:rsidRPr="0087257C" w:rsidRDefault="007933D9" w:rsidP="00CB3364">
            <w:pPr>
              <w:rPr>
                <w:i/>
                <w:sz w:val="24"/>
                <w:szCs w:val="24"/>
              </w:rPr>
            </w:pPr>
            <w:r w:rsidRPr="0087257C">
              <w:rPr>
                <w:i/>
                <w:sz w:val="24"/>
                <w:szCs w:val="24"/>
              </w:rPr>
              <w:t xml:space="preserve">Station yrs. </w:t>
            </w:r>
          </w:p>
        </w:tc>
        <w:tc>
          <w:tcPr>
            <w:tcW w:w="0" w:type="auto"/>
            <w:vAlign w:val="bottom"/>
          </w:tcPr>
          <w:p w14:paraId="1B1CCEA3" w14:textId="1D8DE975" w:rsidR="007933D9" w:rsidRPr="0087257C" w:rsidRDefault="007933D9" w:rsidP="00CB3364">
            <w:pPr>
              <w:jc w:val="center"/>
              <w:rPr>
                <w:i/>
                <w:color w:val="000000"/>
                <w:sz w:val="24"/>
                <w:szCs w:val="24"/>
              </w:rPr>
            </w:pPr>
            <w:r w:rsidRPr="0087257C">
              <w:rPr>
                <w:i/>
                <w:color w:val="000000"/>
                <w:sz w:val="24"/>
                <w:szCs w:val="24"/>
              </w:rPr>
              <w:t>1</w:t>
            </w:r>
            <w:r w:rsidR="00DA0651">
              <w:rPr>
                <w:i/>
                <w:color w:val="000000"/>
                <w:sz w:val="24"/>
                <w:szCs w:val="24"/>
              </w:rPr>
              <w:t>0</w:t>
            </w:r>
          </w:p>
        </w:tc>
        <w:tc>
          <w:tcPr>
            <w:tcW w:w="1397" w:type="dxa"/>
          </w:tcPr>
          <w:p w14:paraId="3B300D52" w14:textId="6841ED44" w:rsidR="007933D9" w:rsidRPr="00382B45" w:rsidDel="00341082" w:rsidRDefault="007933D9" w:rsidP="00CB3364">
            <w:pPr>
              <w:jc w:val="center"/>
              <w:rPr>
                <w:i/>
                <w:color w:val="000000"/>
                <w:sz w:val="24"/>
                <w:szCs w:val="24"/>
              </w:rPr>
            </w:pPr>
            <w:r w:rsidRPr="00382B45">
              <w:rPr>
                <w:i/>
                <w:color w:val="000000"/>
              </w:rPr>
              <w:t>1</w:t>
            </w:r>
            <w:r w:rsidR="00382B45" w:rsidRPr="00766DB3">
              <w:rPr>
                <w:i/>
                <w:color w:val="000000"/>
              </w:rPr>
              <w:t>1</w:t>
            </w:r>
          </w:p>
        </w:tc>
        <w:tc>
          <w:tcPr>
            <w:tcW w:w="0" w:type="auto"/>
            <w:vAlign w:val="bottom"/>
          </w:tcPr>
          <w:p w14:paraId="3D7BCEEB" w14:textId="443839A5" w:rsidR="007933D9" w:rsidRPr="00FD4D6F" w:rsidRDefault="007933D9" w:rsidP="00CB3364">
            <w:pPr>
              <w:jc w:val="center"/>
              <w:rPr>
                <w:i/>
                <w:color w:val="000000"/>
                <w:sz w:val="24"/>
                <w:szCs w:val="24"/>
              </w:rPr>
            </w:pPr>
            <w:r w:rsidRPr="00FD4D6F">
              <w:rPr>
                <w:i/>
                <w:color w:val="000000"/>
              </w:rPr>
              <w:t>1</w:t>
            </w:r>
            <w:r w:rsidR="00FD4D6F" w:rsidRPr="00766DB3">
              <w:rPr>
                <w:i/>
                <w:color w:val="000000"/>
              </w:rPr>
              <w:t>1</w:t>
            </w:r>
          </w:p>
        </w:tc>
        <w:tc>
          <w:tcPr>
            <w:tcW w:w="1030" w:type="dxa"/>
          </w:tcPr>
          <w:p w14:paraId="51BDD5D3" w14:textId="77777777" w:rsidR="007933D9" w:rsidRPr="00DA0651" w:rsidRDefault="007933D9" w:rsidP="00CB3364">
            <w:pPr>
              <w:jc w:val="center"/>
              <w:rPr>
                <w:i/>
                <w:color w:val="000000"/>
                <w:sz w:val="24"/>
                <w:szCs w:val="24"/>
              </w:rPr>
            </w:pPr>
            <w:r w:rsidRPr="00DA0651">
              <w:rPr>
                <w:i/>
                <w:color w:val="000000"/>
              </w:rPr>
              <w:t>11</w:t>
            </w:r>
          </w:p>
        </w:tc>
        <w:tc>
          <w:tcPr>
            <w:tcW w:w="1312" w:type="dxa"/>
          </w:tcPr>
          <w:p w14:paraId="7AC0F24A" w14:textId="77777777" w:rsidR="007933D9" w:rsidRPr="00DA0651" w:rsidRDefault="007933D9" w:rsidP="00CB3364">
            <w:pPr>
              <w:jc w:val="center"/>
              <w:rPr>
                <w:i/>
                <w:color w:val="000000"/>
                <w:sz w:val="24"/>
                <w:szCs w:val="24"/>
              </w:rPr>
            </w:pPr>
            <w:r w:rsidRPr="00DA0651">
              <w:rPr>
                <w:i/>
                <w:color w:val="000000"/>
              </w:rPr>
              <w:t>6</w:t>
            </w:r>
          </w:p>
        </w:tc>
        <w:tc>
          <w:tcPr>
            <w:tcW w:w="652" w:type="dxa"/>
          </w:tcPr>
          <w:p w14:paraId="571BFDA3" w14:textId="77777777" w:rsidR="007933D9" w:rsidRPr="00DA0651" w:rsidRDefault="007933D9" w:rsidP="00CB3364">
            <w:pPr>
              <w:jc w:val="center"/>
              <w:rPr>
                <w:i/>
                <w:color w:val="000000"/>
                <w:sz w:val="24"/>
                <w:szCs w:val="24"/>
              </w:rPr>
            </w:pPr>
            <w:r w:rsidRPr="00DA0651">
              <w:rPr>
                <w:i/>
                <w:color w:val="000000"/>
              </w:rPr>
              <w:t>11</w:t>
            </w:r>
          </w:p>
        </w:tc>
      </w:tr>
      <w:tr w:rsidR="007933D9" w:rsidRPr="0087257C" w14:paraId="40C01459" w14:textId="77777777" w:rsidTr="00766DB3">
        <w:tc>
          <w:tcPr>
            <w:tcW w:w="0" w:type="auto"/>
            <w:shd w:val="clear" w:color="auto" w:fill="auto"/>
            <w:vAlign w:val="bottom"/>
          </w:tcPr>
          <w:p w14:paraId="54647E0C" w14:textId="77777777" w:rsidR="007933D9" w:rsidRPr="0087257C" w:rsidRDefault="007933D9" w:rsidP="00CB3364">
            <w:pPr>
              <w:rPr>
                <w:color w:val="000000"/>
                <w:sz w:val="24"/>
                <w:szCs w:val="24"/>
              </w:rPr>
            </w:pPr>
            <w:r w:rsidRPr="0087257C">
              <w:rPr>
                <w:sz w:val="24"/>
                <w:szCs w:val="24"/>
              </w:rPr>
              <w:t>DH130910</w:t>
            </w:r>
          </w:p>
        </w:tc>
        <w:tc>
          <w:tcPr>
            <w:tcW w:w="0" w:type="auto"/>
            <w:shd w:val="clear" w:color="auto" w:fill="auto"/>
          </w:tcPr>
          <w:p w14:paraId="2E447198" w14:textId="3C085704" w:rsidR="007933D9" w:rsidRPr="0087257C" w:rsidRDefault="007933D9" w:rsidP="00CB3364">
            <w:pPr>
              <w:jc w:val="center"/>
              <w:rPr>
                <w:color w:val="000000"/>
                <w:sz w:val="24"/>
                <w:szCs w:val="24"/>
                <w:highlight w:val="yellow"/>
              </w:rPr>
            </w:pPr>
            <w:r w:rsidRPr="0087257C">
              <w:rPr>
                <w:sz w:val="24"/>
                <w:szCs w:val="24"/>
              </w:rPr>
              <w:t>1</w:t>
            </w:r>
            <w:r w:rsidR="00DA0651">
              <w:rPr>
                <w:sz w:val="24"/>
                <w:szCs w:val="24"/>
              </w:rPr>
              <w:t>46</w:t>
            </w:r>
          </w:p>
        </w:tc>
        <w:tc>
          <w:tcPr>
            <w:tcW w:w="1397" w:type="dxa"/>
          </w:tcPr>
          <w:p w14:paraId="12C6A8E4" w14:textId="26FF19C2" w:rsidR="007933D9" w:rsidRPr="00766DB3" w:rsidRDefault="007933D9" w:rsidP="00CB3364">
            <w:pPr>
              <w:jc w:val="center"/>
              <w:rPr>
                <w:color w:val="000000"/>
                <w:sz w:val="24"/>
                <w:szCs w:val="24"/>
              </w:rPr>
            </w:pPr>
            <w:r w:rsidRPr="00382B45">
              <w:t>54.</w:t>
            </w:r>
            <w:r w:rsidR="00382B45" w:rsidRPr="00766DB3">
              <w:t>4</w:t>
            </w:r>
          </w:p>
        </w:tc>
        <w:tc>
          <w:tcPr>
            <w:tcW w:w="0" w:type="auto"/>
          </w:tcPr>
          <w:p w14:paraId="6A49F00B" w14:textId="77777777" w:rsidR="007933D9" w:rsidRPr="00766DB3" w:rsidRDefault="007933D9" w:rsidP="00CB3364">
            <w:pPr>
              <w:jc w:val="center"/>
              <w:rPr>
                <w:color w:val="000000"/>
                <w:sz w:val="24"/>
                <w:szCs w:val="24"/>
              </w:rPr>
            </w:pPr>
            <w:r w:rsidRPr="00FD4D6F">
              <w:t>45</w:t>
            </w:r>
          </w:p>
        </w:tc>
        <w:tc>
          <w:tcPr>
            <w:tcW w:w="1030" w:type="dxa"/>
          </w:tcPr>
          <w:p w14:paraId="318ABF32" w14:textId="77777777" w:rsidR="007933D9" w:rsidRPr="00766DB3" w:rsidRDefault="007933D9" w:rsidP="00CB3364">
            <w:pPr>
              <w:jc w:val="center"/>
              <w:rPr>
                <w:color w:val="000000"/>
                <w:sz w:val="24"/>
                <w:szCs w:val="24"/>
              </w:rPr>
            </w:pPr>
            <w:r w:rsidRPr="00DA0651">
              <w:t>3.1</w:t>
            </w:r>
          </w:p>
        </w:tc>
        <w:tc>
          <w:tcPr>
            <w:tcW w:w="1312" w:type="dxa"/>
          </w:tcPr>
          <w:p w14:paraId="32D5BBE7" w14:textId="77777777" w:rsidR="007933D9" w:rsidRPr="00766DB3" w:rsidRDefault="007933D9" w:rsidP="00CB3364">
            <w:pPr>
              <w:jc w:val="center"/>
              <w:rPr>
                <w:color w:val="000000"/>
                <w:sz w:val="24"/>
                <w:szCs w:val="24"/>
              </w:rPr>
            </w:pPr>
            <w:r w:rsidRPr="00DA0651">
              <w:t>5</w:t>
            </w:r>
          </w:p>
        </w:tc>
        <w:tc>
          <w:tcPr>
            <w:tcW w:w="652" w:type="dxa"/>
          </w:tcPr>
          <w:p w14:paraId="4C96657C" w14:textId="77777777" w:rsidR="007933D9" w:rsidRPr="00766DB3" w:rsidRDefault="007933D9" w:rsidP="00CB3364">
            <w:pPr>
              <w:jc w:val="center"/>
              <w:rPr>
                <w:color w:val="000000"/>
                <w:sz w:val="24"/>
                <w:szCs w:val="24"/>
              </w:rPr>
            </w:pPr>
            <w:r w:rsidRPr="00DA0651">
              <w:t>5</w:t>
            </w:r>
          </w:p>
        </w:tc>
      </w:tr>
      <w:tr w:rsidR="007933D9" w:rsidRPr="0087257C" w14:paraId="3041959F" w14:textId="77777777" w:rsidTr="00766DB3">
        <w:tc>
          <w:tcPr>
            <w:tcW w:w="0" w:type="auto"/>
            <w:shd w:val="clear" w:color="auto" w:fill="auto"/>
            <w:vAlign w:val="bottom"/>
          </w:tcPr>
          <w:p w14:paraId="23D96D0E" w14:textId="77777777" w:rsidR="007933D9" w:rsidRPr="0087257C" w:rsidRDefault="007933D9" w:rsidP="00CB3364">
            <w:pPr>
              <w:rPr>
                <w:color w:val="000000"/>
                <w:sz w:val="24"/>
                <w:szCs w:val="24"/>
              </w:rPr>
            </w:pPr>
            <w:r w:rsidRPr="0087257C">
              <w:rPr>
                <w:color w:val="000000"/>
                <w:sz w:val="24"/>
                <w:szCs w:val="24"/>
              </w:rPr>
              <w:t>Endeavor</w:t>
            </w:r>
          </w:p>
        </w:tc>
        <w:tc>
          <w:tcPr>
            <w:tcW w:w="0" w:type="auto"/>
            <w:shd w:val="clear" w:color="auto" w:fill="auto"/>
          </w:tcPr>
          <w:p w14:paraId="673979F1" w14:textId="238BF122" w:rsidR="007933D9" w:rsidRPr="0087257C" w:rsidRDefault="007933D9" w:rsidP="00CB3364">
            <w:pPr>
              <w:jc w:val="center"/>
              <w:rPr>
                <w:color w:val="000000"/>
                <w:sz w:val="24"/>
                <w:szCs w:val="24"/>
                <w:highlight w:val="yellow"/>
              </w:rPr>
            </w:pPr>
            <w:r w:rsidRPr="0087257C">
              <w:rPr>
                <w:sz w:val="24"/>
                <w:szCs w:val="24"/>
              </w:rPr>
              <w:t>11</w:t>
            </w:r>
            <w:r w:rsidR="00DA0651">
              <w:rPr>
                <w:sz w:val="24"/>
                <w:szCs w:val="24"/>
              </w:rPr>
              <w:t>5</w:t>
            </w:r>
          </w:p>
        </w:tc>
        <w:tc>
          <w:tcPr>
            <w:tcW w:w="1397" w:type="dxa"/>
          </w:tcPr>
          <w:p w14:paraId="2307F3CF" w14:textId="77777777" w:rsidR="007933D9" w:rsidRPr="00766DB3" w:rsidRDefault="007933D9" w:rsidP="00CB3364">
            <w:pPr>
              <w:jc w:val="center"/>
              <w:rPr>
                <w:color w:val="000000"/>
                <w:sz w:val="24"/>
                <w:szCs w:val="24"/>
              </w:rPr>
            </w:pPr>
            <w:r w:rsidRPr="00382B45">
              <w:t>51.5</w:t>
            </w:r>
          </w:p>
        </w:tc>
        <w:tc>
          <w:tcPr>
            <w:tcW w:w="0" w:type="auto"/>
          </w:tcPr>
          <w:p w14:paraId="03211D33" w14:textId="77777777" w:rsidR="007933D9" w:rsidRPr="00766DB3" w:rsidRDefault="007933D9" w:rsidP="00CB3364">
            <w:pPr>
              <w:jc w:val="center"/>
              <w:rPr>
                <w:color w:val="000000"/>
                <w:sz w:val="24"/>
                <w:szCs w:val="24"/>
              </w:rPr>
            </w:pPr>
            <w:r w:rsidRPr="00FD4D6F">
              <w:t>39</w:t>
            </w:r>
          </w:p>
        </w:tc>
        <w:tc>
          <w:tcPr>
            <w:tcW w:w="1030" w:type="dxa"/>
          </w:tcPr>
          <w:p w14:paraId="2869EE91" w14:textId="77777777" w:rsidR="007933D9" w:rsidRPr="00766DB3" w:rsidRDefault="007933D9" w:rsidP="00CB3364">
            <w:pPr>
              <w:jc w:val="center"/>
              <w:rPr>
                <w:color w:val="000000"/>
                <w:sz w:val="24"/>
                <w:szCs w:val="24"/>
              </w:rPr>
            </w:pPr>
            <w:r w:rsidRPr="00DA0651">
              <w:t>3.2</w:t>
            </w:r>
          </w:p>
        </w:tc>
        <w:tc>
          <w:tcPr>
            <w:tcW w:w="1312" w:type="dxa"/>
          </w:tcPr>
          <w:p w14:paraId="02F1FDA2" w14:textId="77777777" w:rsidR="007933D9" w:rsidRPr="00766DB3" w:rsidRDefault="007933D9" w:rsidP="00CB3364">
            <w:pPr>
              <w:jc w:val="center"/>
              <w:rPr>
                <w:color w:val="000000"/>
                <w:sz w:val="24"/>
                <w:szCs w:val="24"/>
              </w:rPr>
            </w:pPr>
            <w:r w:rsidRPr="00DA0651">
              <w:t>5</w:t>
            </w:r>
          </w:p>
        </w:tc>
        <w:tc>
          <w:tcPr>
            <w:tcW w:w="652" w:type="dxa"/>
          </w:tcPr>
          <w:p w14:paraId="189BE8E0" w14:textId="77777777" w:rsidR="007933D9" w:rsidRPr="00766DB3" w:rsidRDefault="007933D9" w:rsidP="00CB3364">
            <w:pPr>
              <w:jc w:val="center"/>
              <w:rPr>
                <w:color w:val="000000"/>
                <w:sz w:val="24"/>
                <w:szCs w:val="24"/>
              </w:rPr>
            </w:pPr>
            <w:r w:rsidRPr="00DA0651">
              <w:t>69</w:t>
            </w:r>
          </w:p>
        </w:tc>
      </w:tr>
      <w:tr w:rsidR="007933D9" w:rsidRPr="0087257C" w14:paraId="1A27AF44" w14:textId="77777777" w:rsidTr="00766DB3">
        <w:tc>
          <w:tcPr>
            <w:tcW w:w="0" w:type="auto"/>
            <w:shd w:val="clear" w:color="auto" w:fill="auto"/>
            <w:vAlign w:val="bottom"/>
          </w:tcPr>
          <w:p w14:paraId="5F15C0BD" w14:textId="77777777" w:rsidR="007933D9" w:rsidRPr="0087257C" w:rsidRDefault="007933D9" w:rsidP="00CB3364">
            <w:pPr>
              <w:rPr>
                <w:color w:val="000000"/>
                <w:sz w:val="24"/>
                <w:szCs w:val="24"/>
              </w:rPr>
            </w:pPr>
            <w:r w:rsidRPr="0087257C">
              <w:rPr>
                <w:color w:val="000000"/>
                <w:sz w:val="24"/>
                <w:szCs w:val="24"/>
              </w:rPr>
              <w:t xml:space="preserve">Wintmalt </w:t>
            </w:r>
          </w:p>
        </w:tc>
        <w:tc>
          <w:tcPr>
            <w:tcW w:w="0" w:type="auto"/>
            <w:shd w:val="clear" w:color="auto" w:fill="auto"/>
          </w:tcPr>
          <w:p w14:paraId="608FF38A" w14:textId="4AAE6E08" w:rsidR="007933D9" w:rsidRPr="0087257C" w:rsidRDefault="007933D9" w:rsidP="00CB3364">
            <w:pPr>
              <w:jc w:val="center"/>
              <w:rPr>
                <w:color w:val="000000"/>
                <w:sz w:val="24"/>
                <w:szCs w:val="24"/>
                <w:highlight w:val="yellow"/>
              </w:rPr>
            </w:pPr>
            <w:r w:rsidRPr="0087257C">
              <w:rPr>
                <w:sz w:val="24"/>
                <w:szCs w:val="24"/>
              </w:rPr>
              <w:t>1</w:t>
            </w:r>
            <w:r w:rsidR="00DA0651">
              <w:rPr>
                <w:sz w:val="24"/>
                <w:szCs w:val="24"/>
              </w:rPr>
              <w:t>22</w:t>
            </w:r>
          </w:p>
        </w:tc>
        <w:tc>
          <w:tcPr>
            <w:tcW w:w="1397" w:type="dxa"/>
          </w:tcPr>
          <w:p w14:paraId="0D7EF005" w14:textId="20C00A17" w:rsidR="007933D9" w:rsidRPr="00766DB3" w:rsidRDefault="007933D9" w:rsidP="00CB3364">
            <w:pPr>
              <w:jc w:val="center"/>
              <w:rPr>
                <w:color w:val="000000"/>
                <w:sz w:val="24"/>
                <w:szCs w:val="24"/>
              </w:rPr>
            </w:pPr>
            <w:r w:rsidRPr="00382B45">
              <w:t>5</w:t>
            </w:r>
            <w:r w:rsidR="00382B45" w:rsidRPr="00766DB3">
              <w:t>1.2</w:t>
            </w:r>
          </w:p>
        </w:tc>
        <w:tc>
          <w:tcPr>
            <w:tcW w:w="0" w:type="auto"/>
          </w:tcPr>
          <w:p w14:paraId="59CA9F18" w14:textId="77777777" w:rsidR="007933D9" w:rsidRPr="00766DB3" w:rsidRDefault="007933D9" w:rsidP="00CB3364">
            <w:pPr>
              <w:jc w:val="center"/>
              <w:rPr>
                <w:color w:val="000000"/>
                <w:sz w:val="24"/>
                <w:szCs w:val="24"/>
              </w:rPr>
            </w:pPr>
            <w:r w:rsidRPr="00FD4D6F">
              <w:t>39</w:t>
            </w:r>
          </w:p>
        </w:tc>
        <w:tc>
          <w:tcPr>
            <w:tcW w:w="1030" w:type="dxa"/>
          </w:tcPr>
          <w:p w14:paraId="4D464D29" w14:textId="77777777" w:rsidR="007933D9" w:rsidRPr="00766DB3" w:rsidRDefault="007933D9" w:rsidP="00CB3364">
            <w:pPr>
              <w:jc w:val="center"/>
              <w:rPr>
                <w:color w:val="000000"/>
                <w:sz w:val="24"/>
                <w:szCs w:val="24"/>
              </w:rPr>
            </w:pPr>
            <w:r w:rsidRPr="00DA0651">
              <w:t>2.8</w:t>
            </w:r>
          </w:p>
        </w:tc>
        <w:tc>
          <w:tcPr>
            <w:tcW w:w="1312" w:type="dxa"/>
          </w:tcPr>
          <w:p w14:paraId="1D0AF7E3" w14:textId="77777777" w:rsidR="007933D9" w:rsidRPr="00766DB3" w:rsidRDefault="007933D9" w:rsidP="00CB3364">
            <w:pPr>
              <w:jc w:val="center"/>
              <w:rPr>
                <w:color w:val="000000"/>
                <w:sz w:val="24"/>
                <w:szCs w:val="24"/>
              </w:rPr>
            </w:pPr>
            <w:r w:rsidRPr="00DA0651">
              <w:t>19</w:t>
            </w:r>
          </w:p>
        </w:tc>
        <w:tc>
          <w:tcPr>
            <w:tcW w:w="652" w:type="dxa"/>
          </w:tcPr>
          <w:p w14:paraId="48D478B6" w14:textId="77777777" w:rsidR="007933D9" w:rsidRPr="00766DB3" w:rsidRDefault="007933D9" w:rsidP="00CB3364">
            <w:pPr>
              <w:jc w:val="center"/>
              <w:rPr>
                <w:color w:val="000000"/>
                <w:sz w:val="24"/>
                <w:szCs w:val="24"/>
              </w:rPr>
            </w:pPr>
            <w:r w:rsidRPr="00DA0651">
              <w:t>46</w:t>
            </w:r>
          </w:p>
        </w:tc>
      </w:tr>
    </w:tbl>
    <w:p w14:paraId="7F7B92AD" w14:textId="77777777" w:rsidR="007933D9"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highlight w:val="yellow"/>
        </w:rPr>
      </w:pPr>
    </w:p>
    <w:p w14:paraId="42B6E1EC" w14:textId="77777777" w:rsidR="007933D9" w:rsidRPr="00766DB3"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14:paraId="7D05E3F0" w14:textId="3F61F089" w:rsidR="007933D9" w:rsidRPr="00652900"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66DB3">
        <w:rPr>
          <w:b/>
        </w:rPr>
        <w:t xml:space="preserve">Table </w:t>
      </w:r>
      <w:r w:rsidR="00DB1198" w:rsidRPr="00766DB3">
        <w:rPr>
          <w:b/>
        </w:rPr>
        <w:t>2</w:t>
      </w:r>
      <w:r w:rsidRPr="00766DB3">
        <w:rPr>
          <w:b/>
        </w:rPr>
        <w:t>.</w:t>
      </w:r>
      <w:r w:rsidRPr="00652900">
        <w:rPr>
          <w:b/>
        </w:rPr>
        <w:t xml:space="preserve"> </w:t>
      </w:r>
      <w:r w:rsidRPr="00652900">
        <w:t>Agronomic performance of fall planted DH130910 compared to check cultivars. Average of the 2017</w:t>
      </w:r>
      <w:r>
        <w:t>,</w:t>
      </w:r>
      <w:r w:rsidRPr="00652900">
        <w:t xml:space="preserve"> 2018</w:t>
      </w:r>
      <w:r>
        <w:t>, and 2019</w:t>
      </w:r>
      <w:r w:rsidRPr="00F527EF">
        <w:t xml:space="preserve"> </w:t>
      </w:r>
      <w:r w:rsidRPr="00652900">
        <w:t>Winter Malting Barley Trial</w:t>
      </w:r>
      <w:r w:rsidR="00766DB3">
        <w:t xml:space="preserve">. </w:t>
      </w:r>
    </w:p>
    <w:p w14:paraId="660659C8" w14:textId="77777777" w:rsidR="007933D9" w:rsidRPr="00F527EF"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highlight w:val="yellow"/>
        </w:rPr>
      </w:pPr>
    </w:p>
    <w:tbl>
      <w:tblPr>
        <w:tblStyle w:val="TableGrid"/>
        <w:tblW w:w="8664" w:type="dxa"/>
        <w:tblLook w:val="04A0" w:firstRow="1" w:lastRow="0" w:firstColumn="1" w:lastColumn="0" w:noHBand="0" w:noVBand="1"/>
      </w:tblPr>
      <w:tblGrid>
        <w:gridCol w:w="1469"/>
        <w:gridCol w:w="1107"/>
        <w:gridCol w:w="1030"/>
        <w:gridCol w:w="962"/>
        <w:gridCol w:w="1040"/>
        <w:gridCol w:w="1030"/>
        <w:gridCol w:w="956"/>
        <w:gridCol w:w="1070"/>
      </w:tblGrid>
      <w:tr w:rsidR="007933D9" w:rsidRPr="0087257C" w14:paraId="04FEF980" w14:textId="77777777" w:rsidTr="00CB3364">
        <w:tc>
          <w:tcPr>
            <w:tcW w:w="1517" w:type="dxa"/>
          </w:tcPr>
          <w:p w14:paraId="1CAF4791"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Entry</w:t>
            </w:r>
          </w:p>
        </w:tc>
        <w:tc>
          <w:tcPr>
            <w:tcW w:w="1113" w:type="dxa"/>
          </w:tcPr>
          <w:p w14:paraId="0B594D7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Yield</w:t>
            </w:r>
          </w:p>
          <w:p w14:paraId="7BFD5BCA"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w:t>
            </w:r>
            <w:proofErr w:type="spellStart"/>
            <w:r w:rsidRPr="0087257C">
              <w:rPr>
                <w:sz w:val="24"/>
                <w:szCs w:val="24"/>
              </w:rPr>
              <w:t>bu</w:t>
            </w:r>
            <w:proofErr w:type="spellEnd"/>
            <w:r w:rsidRPr="0087257C">
              <w:rPr>
                <w:sz w:val="24"/>
                <w:szCs w:val="24"/>
              </w:rPr>
              <w:t>/acre)</w:t>
            </w:r>
          </w:p>
        </w:tc>
        <w:tc>
          <w:tcPr>
            <w:tcW w:w="1013" w:type="dxa"/>
          </w:tcPr>
          <w:p w14:paraId="41B74FDD"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Heading (DOY)</w:t>
            </w:r>
          </w:p>
        </w:tc>
        <w:tc>
          <w:tcPr>
            <w:tcW w:w="986" w:type="dxa"/>
          </w:tcPr>
          <w:p w14:paraId="307FB850" w14:textId="4D134120"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 xml:space="preserve">Plant </w:t>
            </w:r>
            <w:r w:rsidR="00356D86">
              <w:rPr>
                <w:sz w:val="24"/>
                <w:szCs w:val="24"/>
              </w:rPr>
              <w:t>H</w:t>
            </w:r>
            <w:r w:rsidRPr="0087257C">
              <w:rPr>
                <w:sz w:val="24"/>
                <w:szCs w:val="24"/>
              </w:rPr>
              <w:t>eight</w:t>
            </w:r>
          </w:p>
          <w:p w14:paraId="2ECEA589"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(in)</w:t>
            </w:r>
          </w:p>
        </w:tc>
        <w:tc>
          <w:tcPr>
            <w:tcW w:w="1042" w:type="dxa"/>
          </w:tcPr>
          <w:p w14:paraId="48B155C1"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Lodging (0-9)</w:t>
            </w:r>
          </w:p>
        </w:tc>
        <w:tc>
          <w:tcPr>
            <w:tcW w:w="1013" w:type="dxa"/>
          </w:tcPr>
          <w:p w14:paraId="5633B6E9" w14:textId="76B63533"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 xml:space="preserve">Winter </w:t>
            </w:r>
            <w:r w:rsidR="00356D86">
              <w:rPr>
                <w:sz w:val="24"/>
                <w:szCs w:val="24"/>
              </w:rPr>
              <w:t>S</w:t>
            </w:r>
            <w:r w:rsidRPr="0087257C">
              <w:rPr>
                <w:sz w:val="24"/>
                <w:szCs w:val="24"/>
              </w:rPr>
              <w:t>urvival</w:t>
            </w:r>
          </w:p>
          <w:p w14:paraId="18FCF4C5"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w:t>
            </w:r>
          </w:p>
        </w:tc>
        <w:tc>
          <w:tcPr>
            <w:tcW w:w="981" w:type="dxa"/>
          </w:tcPr>
          <w:p w14:paraId="3B46E12A"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Net Blotch (0-9)</w:t>
            </w:r>
          </w:p>
        </w:tc>
        <w:tc>
          <w:tcPr>
            <w:tcW w:w="999" w:type="dxa"/>
          </w:tcPr>
          <w:p w14:paraId="2938D98F"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Powdery Mildew (0-9)</w:t>
            </w:r>
          </w:p>
        </w:tc>
      </w:tr>
      <w:tr w:rsidR="007933D9" w:rsidRPr="0087257C" w14:paraId="491CF32C" w14:textId="77777777" w:rsidTr="00CB3364">
        <w:tc>
          <w:tcPr>
            <w:tcW w:w="1517" w:type="dxa"/>
          </w:tcPr>
          <w:p w14:paraId="44B65FF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r w:rsidRPr="0087257C">
              <w:rPr>
                <w:i/>
                <w:sz w:val="24"/>
                <w:szCs w:val="24"/>
              </w:rPr>
              <w:t>Station yrs.</w:t>
            </w:r>
          </w:p>
        </w:tc>
        <w:tc>
          <w:tcPr>
            <w:tcW w:w="1113" w:type="dxa"/>
          </w:tcPr>
          <w:p w14:paraId="238C76FA"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45</w:t>
            </w:r>
          </w:p>
        </w:tc>
        <w:tc>
          <w:tcPr>
            <w:tcW w:w="1013" w:type="dxa"/>
          </w:tcPr>
          <w:p w14:paraId="5EBD0C0A"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34</w:t>
            </w:r>
          </w:p>
        </w:tc>
        <w:tc>
          <w:tcPr>
            <w:tcW w:w="986" w:type="dxa"/>
          </w:tcPr>
          <w:p w14:paraId="1583D6D1"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39</w:t>
            </w:r>
          </w:p>
        </w:tc>
        <w:tc>
          <w:tcPr>
            <w:tcW w:w="1042" w:type="dxa"/>
          </w:tcPr>
          <w:p w14:paraId="7DD4DB13"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highlight w:val="yellow"/>
              </w:rPr>
            </w:pPr>
            <w:r w:rsidRPr="0087257C">
              <w:rPr>
                <w:i/>
                <w:sz w:val="24"/>
                <w:szCs w:val="24"/>
              </w:rPr>
              <w:t>25</w:t>
            </w:r>
          </w:p>
        </w:tc>
        <w:tc>
          <w:tcPr>
            <w:tcW w:w="1013" w:type="dxa"/>
          </w:tcPr>
          <w:p w14:paraId="69E56F3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highlight w:val="yellow"/>
              </w:rPr>
            </w:pPr>
            <w:r w:rsidRPr="0087257C">
              <w:rPr>
                <w:i/>
                <w:sz w:val="24"/>
                <w:szCs w:val="24"/>
              </w:rPr>
              <w:t>14</w:t>
            </w:r>
          </w:p>
        </w:tc>
        <w:tc>
          <w:tcPr>
            <w:tcW w:w="981" w:type="dxa"/>
          </w:tcPr>
          <w:p w14:paraId="21E8B959"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4</w:t>
            </w:r>
          </w:p>
        </w:tc>
        <w:tc>
          <w:tcPr>
            <w:tcW w:w="999" w:type="dxa"/>
          </w:tcPr>
          <w:p w14:paraId="781B446D"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9</w:t>
            </w:r>
          </w:p>
        </w:tc>
      </w:tr>
      <w:tr w:rsidR="007933D9" w:rsidRPr="0087257C" w14:paraId="54C163F1" w14:textId="77777777" w:rsidTr="00CB3364">
        <w:tc>
          <w:tcPr>
            <w:tcW w:w="1517" w:type="dxa"/>
          </w:tcPr>
          <w:p w14:paraId="76A9B64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DH130910</w:t>
            </w:r>
          </w:p>
        </w:tc>
        <w:tc>
          <w:tcPr>
            <w:tcW w:w="1113" w:type="dxa"/>
          </w:tcPr>
          <w:p w14:paraId="67C28CB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93</w:t>
            </w:r>
          </w:p>
        </w:tc>
        <w:tc>
          <w:tcPr>
            <w:tcW w:w="1013" w:type="dxa"/>
          </w:tcPr>
          <w:p w14:paraId="2D9D6143"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125</w:t>
            </w:r>
          </w:p>
        </w:tc>
        <w:tc>
          <w:tcPr>
            <w:tcW w:w="986" w:type="dxa"/>
          </w:tcPr>
          <w:p w14:paraId="09A908D5"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33</w:t>
            </w:r>
          </w:p>
        </w:tc>
        <w:tc>
          <w:tcPr>
            <w:tcW w:w="1042" w:type="dxa"/>
          </w:tcPr>
          <w:p w14:paraId="34C47D6A"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2.3</w:t>
            </w:r>
          </w:p>
        </w:tc>
        <w:tc>
          <w:tcPr>
            <w:tcW w:w="1013" w:type="dxa"/>
          </w:tcPr>
          <w:p w14:paraId="710C218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76</w:t>
            </w:r>
          </w:p>
        </w:tc>
        <w:tc>
          <w:tcPr>
            <w:tcW w:w="981" w:type="dxa"/>
          </w:tcPr>
          <w:p w14:paraId="796EFF99"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2.0</w:t>
            </w:r>
          </w:p>
        </w:tc>
        <w:tc>
          <w:tcPr>
            <w:tcW w:w="999" w:type="dxa"/>
          </w:tcPr>
          <w:p w14:paraId="32507C6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0.1</w:t>
            </w:r>
          </w:p>
        </w:tc>
      </w:tr>
      <w:tr w:rsidR="007933D9" w:rsidRPr="0087257C" w14:paraId="7FF05E3B" w14:textId="77777777" w:rsidTr="00CB3364">
        <w:tc>
          <w:tcPr>
            <w:tcW w:w="1517" w:type="dxa"/>
          </w:tcPr>
          <w:p w14:paraId="1A23FD4E"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Endeavor</w:t>
            </w:r>
          </w:p>
        </w:tc>
        <w:tc>
          <w:tcPr>
            <w:tcW w:w="1113" w:type="dxa"/>
          </w:tcPr>
          <w:p w14:paraId="71B94A43"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83</w:t>
            </w:r>
          </w:p>
        </w:tc>
        <w:tc>
          <w:tcPr>
            <w:tcW w:w="1013" w:type="dxa"/>
          </w:tcPr>
          <w:p w14:paraId="6C62DDA1"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122</w:t>
            </w:r>
          </w:p>
        </w:tc>
        <w:tc>
          <w:tcPr>
            <w:tcW w:w="986" w:type="dxa"/>
          </w:tcPr>
          <w:p w14:paraId="27DD5BE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32</w:t>
            </w:r>
          </w:p>
        </w:tc>
        <w:tc>
          <w:tcPr>
            <w:tcW w:w="1042" w:type="dxa"/>
          </w:tcPr>
          <w:p w14:paraId="721B94D7"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2.4</w:t>
            </w:r>
          </w:p>
        </w:tc>
        <w:tc>
          <w:tcPr>
            <w:tcW w:w="1013" w:type="dxa"/>
          </w:tcPr>
          <w:p w14:paraId="2729F9D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64</w:t>
            </w:r>
          </w:p>
        </w:tc>
        <w:tc>
          <w:tcPr>
            <w:tcW w:w="981" w:type="dxa"/>
          </w:tcPr>
          <w:p w14:paraId="106258CB"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2.0</w:t>
            </w:r>
          </w:p>
        </w:tc>
        <w:tc>
          <w:tcPr>
            <w:tcW w:w="999" w:type="dxa"/>
          </w:tcPr>
          <w:p w14:paraId="27F51341"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1.0</w:t>
            </w:r>
          </w:p>
        </w:tc>
      </w:tr>
      <w:tr w:rsidR="007933D9" w:rsidRPr="0087257C" w14:paraId="50713EA1" w14:textId="77777777" w:rsidTr="00CB3364">
        <w:tc>
          <w:tcPr>
            <w:tcW w:w="1517" w:type="dxa"/>
          </w:tcPr>
          <w:p w14:paraId="435BF16C"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Wintmalt</w:t>
            </w:r>
          </w:p>
        </w:tc>
        <w:tc>
          <w:tcPr>
            <w:tcW w:w="1113" w:type="dxa"/>
          </w:tcPr>
          <w:p w14:paraId="39499CF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87</w:t>
            </w:r>
          </w:p>
        </w:tc>
        <w:tc>
          <w:tcPr>
            <w:tcW w:w="1013" w:type="dxa"/>
          </w:tcPr>
          <w:p w14:paraId="58179CAD"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126</w:t>
            </w:r>
          </w:p>
        </w:tc>
        <w:tc>
          <w:tcPr>
            <w:tcW w:w="986" w:type="dxa"/>
          </w:tcPr>
          <w:p w14:paraId="1CE276BC"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31</w:t>
            </w:r>
          </w:p>
        </w:tc>
        <w:tc>
          <w:tcPr>
            <w:tcW w:w="1042" w:type="dxa"/>
          </w:tcPr>
          <w:p w14:paraId="36F1D4A0"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1.7</w:t>
            </w:r>
          </w:p>
        </w:tc>
        <w:tc>
          <w:tcPr>
            <w:tcW w:w="1013" w:type="dxa"/>
          </w:tcPr>
          <w:p w14:paraId="7676DF27"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74</w:t>
            </w:r>
          </w:p>
        </w:tc>
        <w:tc>
          <w:tcPr>
            <w:tcW w:w="981" w:type="dxa"/>
          </w:tcPr>
          <w:p w14:paraId="495BE3FD"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2.0</w:t>
            </w:r>
          </w:p>
        </w:tc>
        <w:tc>
          <w:tcPr>
            <w:tcW w:w="999" w:type="dxa"/>
          </w:tcPr>
          <w:p w14:paraId="65462E7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1.3</w:t>
            </w:r>
          </w:p>
        </w:tc>
      </w:tr>
    </w:tbl>
    <w:p w14:paraId="7DCF0018" w14:textId="77777777" w:rsidR="007933D9" w:rsidRPr="00F527EF"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highlight w:val="yellow"/>
        </w:rPr>
      </w:pPr>
    </w:p>
    <w:p w14:paraId="09438CF0" w14:textId="4723EECC" w:rsidR="007933D9" w:rsidRPr="00E7103E"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66DB3">
        <w:rPr>
          <w:b/>
        </w:rPr>
        <w:lastRenderedPageBreak/>
        <w:t xml:space="preserve">Table </w:t>
      </w:r>
      <w:r w:rsidR="00DB1198" w:rsidRPr="00766DB3">
        <w:rPr>
          <w:b/>
        </w:rPr>
        <w:t>3</w:t>
      </w:r>
      <w:r w:rsidRPr="00766DB3">
        <w:rPr>
          <w:b/>
        </w:rPr>
        <w:t>.</w:t>
      </w:r>
      <w:r w:rsidRPr="00E452D7">
        <w:rPr>
          <w:b/>
        </w:rPr>
        <w:t xml:space="preserve"> </w:t>
      </w:r>
      <w:r w:rsidRPr="00E452D7">
        <w:t>Agronomic</w:t>
      </w:r>
      <w:r w:rsidRPr="00E7103E">
        <w:t xml:space="preserve"> performance of fall planted DH130910 compared to check cultivars. Average of the 2018</w:t>
      </w:r>
      <w:r w:rsidRPr="00F527EF">
        <w:t xml:space="preserve"> &amp; 2019</w:t>
      </w:r>
      <w:r w:rsidRPr="00E7103E">
        <w:t xml:space="preserve"> University of Idaho Extension Trials (Aberdeen and Rupert). </w:t>
      </w:r>
    </w:p>
    <w:p w14:paraId="7F827C2B" w14:textId="77777777" w:rsidR="007933D9" w:rsidRPr="00F527EF" w:rsidRDefault="007933D9" w:rsidP="007933D9">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highlight w:val="yellow"/>
        </w:rPr>
      </w:pPr>
    </w:p>
    <w:tbl>
      <w:tblPr>
        <w:tblStyle w:val="TableGrid"/>
        <w:tblW w:w="7105" w:type="dxa"/>
        <w:tblLook w:val="04A0" w:firstRow="1" w:lastRow="0" w:firstColumn="1" w:lastColumn="0" w:noHBand="0" w:noVBand="1"/>
      </w:tblPr>
      <w:tblGrid>
        <w:gridCol w:w="1460"/>
        <w:gridCol w:w="1083"/>
        <w:gridCol w:w="1030"/>
        <w:gridCol w:w="1263"/>
        <w:gridCol w:w="1030"/>
        <w:gridCol w:w="1239"/>
      </w:tblGrid>
      <w:tr w:rsidR="007933D9" w:rsidRPr="0087257C" w14:paraId="12FB4635" w14:textId="77777777" w:rsidTr="00766DB3">
        <w:tc>
          <w:tcPr>
            <w:tcW w:w="1460" w:type="dxa"/>
          </w:tcPr>
          <w:p w14:paraId="4BE28B89"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Entry</w:t>
            </w:r>
          </w:p>
        </w:tc>
        <w:tc>
          <w:tcPr>
            <w:tcW w:w="1083" w:type="dxa"/>
          </w:tcPr>
          <w:p w14:paraId="4D0FE1CF"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Yield</w:t>
            </w:r>
          </w:p>
          <w:p w14:paraId="7556904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w:t>
            </w:r>
            <w:proofErr w:type="spellStart"/>
            <w:r w:rsidRPr="0087257C">
              <w:rPr>
                <w:sz w:val="24"/>
                <w:szCs w:val="24"/>
              </w:rPr>
              <w:t>bu</w:t>
            </w:r>
            <w:proofErr w:type="spellEnd"/>
            <w:r w:rsidRPr="0087257C">
              <w:rPr>
                <w:sz w:val="24"/>
                <w:szCs w:val="24"/>
              </w:rPr>
              <w:t>/acre)</w:t>
            </w:r>
          </w:p>
        </w:tc>
        <w:tc>
          <w:tcPr>
            <w:tcW w:w="1030" w:type="dxa"/>
          </w:tcPr>
          <w:p w14:paraId="14E9B19D"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Heading (DOY)</w:t>
            </w:r>
          </w:p>
        </w:tc>
        <w:tc>
          <w:tcPr>
            <w:tcW w:w="1263" w:type="dxa"/>
          </w:tcPr>
          <w:p w14:paraId="644F81F7"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Plant Height</w:t>
            </w:r>
          </w:p>
          <w:p w14:paraId="5939C7D5"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(in)</w:t>
            </w:r>
          </w:p>
        </w:tc>
        <w:tc>
          <w:tcPr>
            <w:tcW w:w="1030" w:type="dxa"/>
          </w:tcPr>
          <w:p w14:paraId="18B40DD3"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Lodging (%)</w:t>
            </w:r>
          </w:p>
        </w:tc>
        <w:tc>
          <w:tcPr>
            <w:tcW w:w="1239" w:type="dxa"/>
          </w:tcPr>
          <w:p w14:paraId="4E830A27"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Spring Stand</w:t>
            </w:r>
          </w:p>
          <w:p w14:paraId="1429645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w:t>
            </w:r>
          </w:p>
        </w:tc>
      </w:tr>
      <w:tr w:rsidR="007933D9" w:rsidRPr="0087257C" w14:paraId="2CB7F99C" w14:textId="77777777" w:rsidTr="00766DB3">
        <w:tc>
          <w:tcPr>
            <w:tcW w:w="1460" w:type="dxa"/>
          </w:tcPr>
          <w:p w14:paraId="4CC1289C"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r w:rsidRPr="0087257C">
              <w:rPr>
                <w:i/>
                <w:sz w:val="24"/>
                <w:szCs w:val="24"/>
              </w:rPr>
              <w:t xml:space="preserve">Station yrs. </w:t>
            </w:r>
          </w:p>
        </w:tc>
        <w:tc>
          <w:tcPr>
            <w:tcW w:w="1083" w:type="dxa"/>
          </w:tcPr>
          <w:p w14:paraId="293FBBD8"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4</w:t>
            </w:r>
          </w:p>
        </w:tc>
        <w:tc>
          <w:tcPr>
            <w:tcW w:w="1030" w:type="dxa"/>
          </w:tcPr>
          <w:p w14:paraId="0D1618C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4</w:t>
            </w:r>
          </w:p>
        </w:tc>
        <w:tc>
          <w:tcPr>
            <w:tcW w:w="1263" w:type="dxa"/>
          </w:tcPr>
          <w:p w14:paraId="23C12C7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4</w:t>
            </w:r>
          </w:p>
        </w:tc>
        <w:tc>
          <w:tcPr>
            <w:tcW w:w="1030" w:type="dxa"/>
          </w:tcPr>
          <w:p w14:paraId="44D37E1D"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4</w:t>
            </w:r>
          </w:p>
        </w:tc>
        <w:tc>
          <w:tcPr>
            <w:tcW w:w="1239" w:type="dxa"/>
          </w:tcPr>
          <w:p w14:paraId="0099F0D0"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4"/>
                <w:szCs w:val="24"/>
              </w:rPr>
            </w:pPr>
            <w:r w:rsidRPr="0087257C">
              <w:rPr>
                <w:i/>
                <w:sz w:val="24"/>
                <w:szCs w:val="24"/>
              </w:rPr>
              <w:t>4</w:t>
            </w:r>
          </w:p>
        </w:tc>
      </w:tr>
      <w:tr w:rsidR="007933D9" w:rsidRPr="0087257C" w14:paraId="7E79FD6B" w14:textId="77777777" w:rsidTr="00766DB3">
        <w:tc>
          <w:tcPr>
            <w:tcW w:w="1460" w:type="dxa"/>
          </w:tcPr>
          <w:p w14:paraId="28EFA94B"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DH130910</w:t>
            </w:r>
          </w:p>
        </w:tc>
        <w:tc>
          <w:tcPr>
            <w:tcW w:w="1083" w:type="dxa"/>
          </w:tcPr>
          <w:p w14:paraId="0D3E7C80"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157</w:t>
            </w:r>
          </w:p>
        </w:tc>
        <w:tc>
          <w:tcPr>
            <w:tcW w:w="1030" w:type="dxa"/>
          </w:tcPr>
          <w:p w14:paraId="313AF8F4"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145</w:t>
            </w:r>
          </w:p>
        </w:tc>
        <w:tc>
          <w:tcPr>
            <w:tcW w:w="1263" w:type="dxa"/>
          </w:tcPr>
          <w:p w14:paraId="3E6D7E8C"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41</w:t>
            </w:r>
          </w:p>
        </w:tc>
        <w:tc>
          <w:tcPr>
            <w:tcW w:w="1030" w:type="dxa"/>
          </w:tcPr>
          <w:p w14:paraId="099C912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16</w:t>
            </w:r>
          </w:p>
        </w:tc>
        <w:tc>
          <w:tcPr>
            <w:tcW w:w="1239" w:type="dxa"/>
          </w:tcPr>
          <w:p w14:paraId="5679172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99</w:t>
            </w:r>
          </w:p>
        </w:tc>
      </w:tr>
      <w:tr w:rsidR="007933D9" w:rsidRPr="0087257C" w14:paraId="4B06E260" w14:textId="77777777" w:rsidTr="00766DB3">
        <w:tc>
          <w:tcPr>
            <w:tcW w:w="1460" w:type="dxa"/>
          </w:tcPr>
          <w:p w14:paraId="28FBF24D"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Endeavor</w:t>
            </w:r>
          </w:p>
        </w:tc>
        <w:tc>
          <w:tcPr>
            <w:tcW w:w="1083" w:type="dxa"/>
          </w:tcPr>
          <w:p w14:paraId="648B3456"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139</w:t>
            </w:r>
          </w:p>
        </w:tc>
        <w:tc>
          <w:tcPr>
            <w:tcW w:w="1030" w:type="dxa"/>
          </w:tcPr>
          <w:p w14:paraId="4B63A234"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147</w:t>
            </w:r>
          </w:p>
        </w:tc>
        <w:tc>
          <w:tcPr>
            <w:tcW w:w="1263" w:type="dxa"/>
          </w:tcPr>
          <w:p w14:paraId="4852925C"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42</w:t>
            </w:r>
          </w:p>
        </w:tc>
        <w:tc>
          <w:tcPr>
            <w:tcW w:w="1030" w:type="dxa"/>
          </w:tcPr>
          <w:p w14:paraId="22C5BBB9"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63</w:t>
            </w:r>
          </w:p>
        </w:tc>
        <w:tc>
          <w:tcPr>
            <w:tcW w:w="1239" w:type="dxa"/>
          </w:tcPr>
          <w:p w14:paraId="16BF7C0E"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98</w:t>
            </w:r>
          </w:p>
        </w:tc>
      </w:tr>
      <w:tr w:rsidR="007933D9" w:rsidRPr="0087257C" w14:paraId="5F59DE25" w14:textId="77777777" w:rsidTr="00766DB3">
        <w:tc>
          <w:tcPr>
            <w:tcW w:w="1460" w:type="dxa"/>
          </w:tcPr>
          <w:p w14:paraId="62276D0A"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87257C">
              <w:rPr>
                <w:sz w:val="24"/>
                <w:szCs w:val="24"/>
              </w:rPr>
              <w:t>Wintmalt</w:t>
            </w:r>
          </w:p>
        </w:tc>
        <w:tc>
          <w:tcPr>
            <w:tcW w:w="1083" w:type="dxa"/>
          </w:tcPr>
          <w:p w14:paraId="1D8F159E"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151</w:t>
            </w:r>
          </w:p>
        </w:tc>
        <w:tc>
          <w:tcPr>
            <w:tcW w:w="1030" w:type="dxa"/>
          </w:tcPr>
          <w:p w14:paraId="153D00FA"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147</w:t>
            </w:r>
          </w:p>
        </w:tc>
        <w:tc>
          <w:tcPr>
            <w:tcW w:w="1263" w:type="dxa"/>
          </w:tcPr>
          <w:p w14:paraId="605B4199"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40</w:t>
            </w:r>
          </w:p>
        </w:tc>
        <w:tc>
          <w:tcPr>
            <w:tcW w:w="1030" w:type="dxa"/>
          </w:tcPr>
          <w:p w14:paraId="27F06F10"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highlight w:val="yellow"/>
              </w:rPr>
            </w:pPr>
            <w:r w:rsidRPr="0087257C">
              <w:rPr>
                <w:sz w:val="24"/>
                <w:szCs w:val="24"/>
              </w:rPr>
              <w:t>35</w:t>
            </w:r>
          </w:p>
        </w:tc>
        <w:tc>
          <w:tcPr>
            <w:tcW w:w="1239" w:type="dxa"/>
          </w:tcPr>
          <w:p w14:paraId="4DE1828B" w14:textId="77777777" w:rsidR="007933D9" w:rsidRPr="0087257C" w:rsidRDefault="007933D9" w:rsidP="00CB3364">
            <w:pPr>
              <w:tabs>
                <w:tab w:val="left" w:pos="-1080"/>
                <w:tab w:val="left" w:pos="-720"/>
                <w:tab w:val="left" w:pos="0"/>
                <w:tab w:val="left" w:pos="720"/>
                <w:tab w:val="left" w:pos="1440"/>
                <w:tab w:val="left" w:pos="2160"/>
                <w:tab w:val="left" w:pos="33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4"/>
                <w:szCs w:val="24"/>
              </w:rPr>
            </w:pPr>
            <w:r w:rsidRPr="0087257C">
              <w:rPr>
                <w:sz w:val="24"/>
                <w:szCs w:val="24"/>
              </w:rPr>
              <w:t>98</w:t>
            </w:r>
          </w:p>
        </w:tc>
      </w:tr>
    </w:tbl>
    <w:p w14:paraId="069CFBCB" w14:textId="1EDEBC4E" w:rsidR="00830A80" w:rsidRDefault="00830A80" w:rsidP="00766DB3"/>
    <w:p w14:paraId="61EACA1C" w14:textId="77777777" w:rsidR="00E84301" w:rsidRDefault="00E84301" w:rsidP="00766DB3">
      <w:pPr>
        <w:rPr>
          <w:b/>
          <w:bCs/>
        </w:rPr>
      </w:pPr>
    </w:p>
    <w:p w14:paraId="621B3C18" w14:textId="488CD8F5" w:rsidR="001147F9" w:rsidRDefault="001147F9" w:rsidP="00766DB3">
      <w:pPr>
        <w:spacing w:after="240"/>
      </w:pPr>
      <w:r w:rsidRPr="00766DB3">
        <w:rPr>
          <w:b/>
          <w:bCs/>
        </w:rPr>
        <w:t xml:space="preserve">Table </w:t>
      </w:r>
      <w:r w:rsidR="00BA1B05" w:rsidRPr="00766DB3">
        <w:rPr>
          <w:b/>
          <w:bCs/>
        </w:rPr>
        <w:t>4</w:t>
      </w:r>
      <w:r w:rsidRPr="00766DB3">
        <w:rPr>
          <w:b/>
          <w:bCs/>
        </w:rPr>
        <w:t>.</w:t>
      </w:r>
      <w:r>
        <w:t xml:space="preserve"> </w:t>
      </w:r>
      <w:r w:rsidRPr="00E7103E">
        <w:t>Agronomic performance of fall planted DH130910 compared to check cultivars. Average of the 201</w:t>
      </w:r>
      <w:r>
        <w:t>7</w:t>
      </w:r>
      <w:r w:rsidRPr="00F527EF">
        <w:t xml:space="preserve"> </w:t>
      </w:r>
      <w:r>
        <w:t>to</w:t>
      </w:r>
      <w:r w:rsidRPr="00F527EF">
        <w:t xml:space="preserve"> 2019</w:t>
      </w:r>
      <w:r w:rsidRPr="00E7103E">
        <w:t xml:space="preserve"> </w:t>
      </w:r>
      <w:r w:rsidR="0007298F">
        <w:t>New York state-wide trials</w:t>
      </w:r>
      <w:r w:rsidRPr="00E7103E">
        <w:t>.</w:t>
      </w:r>
    </w:p>
    <w:tbl>
      <w:tblPr>
        <w:tblW w:w="7555" w:type="dxa"/>
        <w:tblLayout w:type="fixed"/>
        <w:tblLook w:val="04A0" w:firstRow="1" w:lastRow="0" w:firstColumn="1" w:lastColumn="0" w:noHBand="0" w:noVBand="1"/>
      </w:tblPr>
      <w:tblGrid>
        <w:gridCol w:w="1426"/>
        <w:gridCol w:w="1094"/>
        <w:gridCol w:w="1435"/>
        <w:gridCol w:w="1080"/>
        <w:gridCol w:w="1440"/>
        <w:gridCol w:w="1080"/>
      </w:tblGrid>
      <w:tr w:rsidR="007F14A2" w14:paraId="731C1417" w14:textId="77777777" w:rsidTr="00766DB3">
        <w:trPr>
          <w:trHeight w:val="583"/>
        </w:trPr>
        <w:tc>
          <w:tcPr>
            <w:tcW w:w="1426" w:type="dxa"/>
            <w:tcBorders>
              <w:top w:val="single" w:sz="4" w:space="0" w:color="auto"/>
              <w:left w:val="single" w:sz="4" w:space="0" w:color="auto"/>
              <w:bottom w:val="single" w:sz="4" w:space="0" w:color="000000"/>
              <w:right w:val="single" w:sz="4" w:space="0" w:color="auto"/>
            </w:tcBorders>
            <w:shd w:val="clear" w:color="auto" w:fill="auto"/>
            <w:hideMark/>
          </w:tcPr>
          <w:p w14:paraId="1D66D298" w14:textId="77777777" w:rsidR="00467AD0" w:rsidRDefault="00467AD0">
            <w:pPr>
              <w:rPr>
                <w:color w:val="000000"/>
              </w:rPr>
            </w:pPr>
            <w:r>
              <w:rPr>
                <w:color w:val="000000"/>
              </w:rPr>
              <w:t xml:space="preserve">Entry </w:t>
            </w:r>
          </w:p>
        </w:tc>
        <w:tc>
          <w:tcPr>
            <w:tcW w:w="1094" w:type="dxa"/>
            <w:tcBorders>
              <w:top w:val="single" w:sz="8" w:space="0" w:color="auto"/>
              <w:left w:val="nil"/>
              <w:bottom w:val="nil"/>
              <w:right w:val="single" w:sz="8" w:space="0" w:color="auto"/>
            </w:tcBorders>
            <w:shd w:val="clear" w:color="auto" w:fill="auto"/>
            <w:hideMark/>
          </w:tcPr>
          <w:p w14:paraId="629B9D0D" w14:textId="77777777" w:rsidR="00467AD0" w:rsidRDefault="00467AD0">
            <w:pPr>
              <w:jc w:val="center"/>
              <w:rPr>
                <w:color w:val="000000"/>
              </w:rPr>
            </w:pPr>
            <w:r>
              <w:rPr>
                <w:color w:val="000000"/>
              </w:rPr>
              <w:t xml:space="preserve">Yield </w:t>
            </w:r>
          </w:p>
          <w:p w14:paraId="0CA9CBAB" w14:textId="6E447C1A" w:rsidR="007F14A2" w:rsidRDefault="007F14A2">
            <w:pPr>
              <w:jc w:val="center"/>
              <w:rPr>
                <w:color w:val="000000"/>
              </w:rPr>
            </w:pPr>
            <w:r>
              <w:rPr>
                <w:color w:val="000000"/>
              </w:rPr>
              <w:t>(</w:t>
            </w:r>
            <w:proofErr w:type="spellStart"/>
            <w:r>
              <w:rPr>
                <w:color w:val="000000"/>
              </w:rPr>
              <w:t>bu</w:t>
            </w:r>
            <w:proofErr w:type="spellEnd"/>
            <w:r>
              <w:rPr>
                <w:color w:val="000000"/>
              </w:rPr>
              <w:t>/acre)</w:t>
            </w:r>
          </w:p>
        </w:tc>
        <w:tc>
          <w:tcPr>
            <w:tcW w:w="1435" w:type="dxa"/>
            <w:tcBorders>
              <w:top w:val="single" w:sz="8" w:space="0" w:color="auto"/>
              <w:left w:val="nil"/>
              <w:bottom w:val="nil"/>
              <w:right w:val="single" w:sz="8" w:space="0" w:color="auto"/>
            </w:tcBorders>
            <w:shd w:val="clear" w:color="auto" w:fill="auto"/>
            <w:hideMark/>
          </w:tcPr>
          <w:p w14:paraId="474AA4B8" w14:textId="77777777" w:rsidR="00467AD0" w:rsidRDefault="00467AD0" w:rsidP="007F14A2">
            <w:pPr>
              <w:jc w:val="center"/>
              <w:rPr>
                <w:color w:val="000000"/>
              </w:rPr>
            </w:pPr>
            <w:r>
              <w:rPr>
                <w:color w:val="000000"/>
              </w:rPr>
              <w:t>Test Weight</w:t>
            </w:r>
          </w:p>
          <w:p w14:paraId="68F7064E" w14:textId="54826F80" w:rsidR="007F14A2" w:rsidRDefault="007F14A2" w:rsidP="00356D86">
            <w:pPr>
              <w:jc w:val="center"/>
              <w:rPr>
                <w:color w:val="000000"/>
              </w:rPr>
            </w:pPr>
            <w:r>
              <w:rPr>
                <w:color w:val="000000"/>
              </w:rPr>
              <w:t>(</w:t>
            </w:r>
            <w:proofErr w:type="spellStart"/>
            <w:r>
              <w:rPr>
                <w:color w:val="000000"/>
              </w:rPr>
              <w:t>lbs</w:t>
            </w:r>
            <w:proofErr w:type="spellEnd"/>
            <w:r>
              <w:rPr>
                <w:color w:val="000000"/>
              </w:rPr>
              <w:t>/</w:t>
            </w:r>
            <w:proofErr w:type="spellStart"/>
            <w:r>
              <w:rPr>
                <w:color w:val="000000"/>
              </w:rPr>
              <w:t>bu</w:t>
            </w:r>
            <w:proofErr w:type="spellEnd"/>
            <w:r>
              <w:rPr>
                <w:color w:val="000000"/>
              </w:rPr>
              <w:t>)</w:t>
            </w:r>
          </w:p>
        </w:tc>
        <w:tc>
          <w:tcPr>
            <w:tcW w:w="1080" w:type="dxa"/>
            <w:tcBorders>
              <w:top w:val="single" w:sz="8" w:space="0" w:color="auto"/>
              <w:left w:val="nil"/>
              <w:bottom w:val="nil"/>
              <w:right w:val="single" w:sz="8" w:space="0" w:color="auto"/>
            </w:tcBorders>
            <w:shd w:val="clear" w:color="auto" w:fill="auto"/>
            <w:hideMark/>
          </w:tcPr>
          <w:p w14:paraId="67B9DE76" w14:textId="5E6C0877" w:rsidR="00467AD0" w:rsidRDefault="00467AD0">
            <w:pPr>
              <w:jc w:val="center"/>
              <w:rPr>
                <w:color w:val="000000"/>
              </w:rPr>
            </w:pPr>
            <w:r>
              <w:rPr>
                <w:color w:val="000000"/>
              </w:rPr>
              <w:t xml:space="preserve">Heading </w:t>
            </w:r>
            <w:r w:rsidR="004E5A49" w:rsidRPr="00766DB3">
              <w:rPr>
                <w:color w:val="000000"/>
              </w:rPr>
              <w:t>(DOY)</w:t>
            </w:r>
          </w:p>
        </w:tc>
        <w:tc>
          <w:tcPr>
            <w:tcW w:w="1440" w:type="dxa"/>
            <w:tcBorders>
              <w:top w:val="single" w:sz="8" w:space="0" w:color="auto"/>
              <w:left w:val="nil"/>
              <w:bottom w:val="nil"/>
              <w:right w:val="single" w:sz="8" w:space="0" w:color="auto"/>
            </w:tcBorders>
            <w:shd w:val="clear" w:color="auto" w:fill="auto"/>
            <w:hideMark/>
          </w:tcPr>
          <w:p w14:paraId="38BDD1E2" w14:textId="77777777" w:rsidR="00356D86" w:rsidRDefault="00467AD0">
            <w:pPr>
              <w:jc w:val="center"/>
              <w:rPr>
                <w:color w:val="000000"/>
              </w:rPr>
            </w:pPr>
            <w:r>
              <w:rPr>
                <w:color w:val="000000"/>
              </w:rPr>
              <w:t>Plant Height</w:t>
            </w:r>
          </w:p>
          <w:p w14:paraId="609845EF" w14:textId="3DDC2A91" w:rsidR="00467AD0" w:rsidRDefault="00356D86">
            <w:pPr>
              <w:jc w:val="center"/>
              <w:rPr>
                <w:color w:val="000000"/>
              </w:rPr>
            </w:pPr>
            <w:r>
              <w:rPr>
                <w:color w:val="000000"/>
              </w:rPr>
              <w:t>(in)</w:t>
            </w:r>
            <w:r w:rsidR="00467AD0">
              <w:rPr>
                <w:color w:val="000000"/>
              </w:rPr>
              <w:t xml:space="preserve"> </w:t>
            </w:r>
          </w:p>
        </w:tc>
        <w:tc>
          <w:tcPr>
            <w:tcW w:w="1080" w:type="dxa"/>
            <w:tcBorders>
              <w:top w:val="single" w:sz="8" w:space="0" w:color="auto"/>
              <w:left w:val="single" w:sz="8" w:space="0" w:color="auto"/>
              <w:bottom w:val="single" w:sz="8" w:space="0" w:color="000000"/>
              <w:right w:val="single" w:sz="8" w:space="0" w:color="auto"/>
            </w:tcBorders>
            <w:shd w:val="clear" w:color="auto" w:fill="auto"/>
            <w:hideMark/>
          </w:tcPr>
          <w:p w14:paraId="4CBFBF56" w14:textId="77777777" w:rsidR="00467AD0" w:rsidRDefault="00467AD0">
            <w:pPr>
              <w:jc w:val="center"/>
              <w:rPr>
                <w:color w:val="000000"/>
              </w:rPr>
            </w:pPr>
            <w:r>
              <w:rPr>
                <w:color w:val="000000"/>
              </w:rPr>
              <w:t>Lodging (1-9)</w:t>
            </w:r>
          </w:p>
        </w:tc>
      </w:tr>
      <w:tr w:rsidR="007F14A2" w14:paraId="29CA706E" w14:textId="77777777" w:rsidTr="00766DB3">
        <w:trPr>
          <w:trHeight w:val="251"/>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FDA7D" w14:textId="77777777" w:rsidR="00467AD0" w:rsidRDefault="00467AD0">
            <w:pPr>
              <w:rPr>
                <w:i/>
                <w:iCs/>
                <w:color w:val="000000"/>
              </w:rPr>
            </w:pPr>
            <w:r>
              <w:rPr>
                <w:i/>
                <w:iCs/>
                <w:color w:val="000000"/>
              </w:rPr>
              <w:t xml:space="preserve">Station yrs.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DDC3A" w14:textId="77777777" w:rsidR="00467AD0" w:rsidRDefault="00467AD0">
            <w:pPr>
              <w:jc w:val="center"/>
              <w:rPr>
                <w:i/>
                <w:iCs/>
                <w:color w:val="000000"/>
              </w:rPr>
            </w:pPr>
            <w:r>
              <w:rPr>
                <w:i/>
                <w:iCs/>
                <w:color w:val="000000"/>
              </w:rPr>
              <w:t>12</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68FC9" w14:textId="77777777" w:rsidR="00467AD0" w:rsidRDefault="00467AD0">
            <w:pPr>
              <w:jc w:val="center"/>
              <w:rPr>
                <w:i/>
                <w:iCs/>
                <w:color w:val="000000"/>
              </w:rPr>
            </w:pPr>
            <w:r>
              <w:rPr>
                <w:i/>
                <w:iCs/>
                <w:color w:val="000000"/>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6EF62" w14:textId="77777777" w:rsidR="00467AD0" w:rsidRDefault="00467AD0">
            <w:pPr>
              <w:jc w:val="center"/>
              <w:rPr>
                <w:i/>
                <w:iCs/>
                <w:color w:val="000000"/>
              </w:rPr>
            </w:pPr>
            <w:r>
              <w:rPr>
                <w:i/>
                <w:iCs/>
                <w:color w:val="00000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A4284" w14:textId="77777777" w:rsidR="00467AD0" w:rsidRDefault="00467AD0">
            <w:pPr>
              <w:jc w:val="center"/>
              <w:rPr>
                <w:i/>
                <w:iCs/>
                <w:color w:val="000000"/>
              </w:rPr>
            </w:pPr>
            <w:r>
              <w:rPr>
                <w:i/>
                <w:iCs/>
                <w:color w:val="000000"/>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69979" w14:textId="77777777" w:rsidR="00467AD0" w:rsidRDefault="00467AD0">
            <w:pPr>
              <w:jc w:val="center"/>
              <w:rPr>
                <w:i/>
                <w:iCs/>
                <w:color w:val="000000"/>
              </w:rPr>
            </w:pPr>
            <w:r>
              <w:rPr>
                <w:i/>
                <w:iCs/>
                <w:color w:val="000000"/>
              </w:rPr>
              <w:t>6</w:t>
            </w:r>
          </w:p>
        </w:tc>
      </w:tr>
      <w:tr w:rsidR="007F14A2" w14:paraId="31C9335C" w14:textId="77777777" w:rsidTr="00766DB3">
        <w:trPr>
          <w:trHeight w:val="242"/>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7EBA6" w14:textId="77777777" w:rsidR="00467AD0" w:rsidRDefault="00467AD0">
            <w:pPr>
              <w:rPr>
                <w:color w:val="000000"/>
              </w:rPr>
            </w:pPr>
            <w:r>
              <w:rPr>
                <w:color w:val="000000"/>
              </w:rPr>
              <w:t>DH130910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82848" w14:textId="77777777" w:rsidR="00467AD0" w:rsidRDefault="00467AD0">
            <w:pPr>
              <w:jc w:val="center"/>
              <w:rPr>
                <w:color w:val="000000"/>
              </w:rPr>
            </w:pPr>
            <w:r>
              <w:rPr>
                <w:color w:val="000000"/>
              </w:rPr>
              <w:t>86</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E17FD" w14:textId="77777777" w:rsidR="00467AD0" w:rsidRDefault="00467AD0">
            <w:pPr>
              <w:jc w:val="center"/>
              <w:rPr>
                <w:color w:val="000000"/>
              </w:rPr>
            </w:pPr>
            <w:r>
              <w:rPr>
                <w:color w:val="000000"/>
              </w:rPr>
              <w:t>49.8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B29D7" w14:textId="718DB8C9" w:rsidR="00467AD0" w:rsidRDefault="004E5A49">
            <w:pPr>
              <w:jc w:val="center"/>
              <w:rPr>
                <w:color w:val="000000"/>
              </w:rPr>
            </w:pPr>
            <w:r>
              <w:rPr>
                <w:color w:val="000000"/>
              </w:rPr>
              <w:t>148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0EA48" w14:textId="77777777" w:rsidR="00467AD0" w:rsidRDefault="00467AD0">
            <w:pPr>
              <w:jc w:val="center"/>
              <w:rPr>
                <w:color w:val="000000"/>
              </w:rPr>
            </w:pPr>
            <w:r>
              <w:rPr>
                <w:color w:val="000000"/>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8A971" w14:textId="77777777" w:rsidR="00467AD0" w:rsidRDefault="00467AD0">
            <w:pPr>
              <w:jc w:val="center"/>
              <w:rPr>
                <w:color w:val="000000"/>
              </w:rPr>
            </w:pPr>
            <w:r>
              <w:rPr>
                <w:color w:val="000000"/>
              </w:rPr>
              <w:t>2.8</w:t>
            </w:r>
          </w:p>
        </w:tc>
      </w:tr>
      <w:tr w:rsidR="007F14A2" w14:paraId="62129CA5" w14:textId="77777777" w:rsidTr="00766DB3">
        <w:trPr>
          <w:trHeight w:val="134"/>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42C10" w14:textId="77777777" w:rsidR="00467AD0" w:rsidRDefault="00467AD0">
            <w:pPr>
              <w:rPr>
                <w:color w:val="000000"/>
              </w:rPr>
            </w:pPr>
            <w:r>
              <w:rPr>
                <w:color w:val="000000"/>
              </w:rPr>
              <w:t>KWS Scala</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B1AE9" w14:textId="77777777" w:rsidR="00467AD0" w:rsidRPr="00766DB3" w:rsidRDefault="00467AD0">
            <w:pPr>
              <w:jc w:val="center"/>
              <w:rPr>
                <w:color w:val="000000"/>
              </w:rPr>
            </w:pPr>
            <w:r w:rsidRPr="00766DB3">
              <w:rPr>
                <w:color w:val="000000"/>
              </w:rPr>
              <w:t>80</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41FDA" w14:textId="77777777" w:rsidR="00467AD0" w:rsidRDefault="00467AD0">
            <w:pPr>
              <w:jc w:val="center"/>
              <w:rPr>
                <w:color w:val="000000"/>
              </w:rPr>
            </w:pPr>
            <w:r>
              <w:rPr>
                <w:color w:val="000000"/>
              </w:rPr>
              <w:t>46.9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6EBC7" w14:textId="64F6E503" w:rsidR="00467AD0" w:rsidRDefault="004E5A49">
            <w:pPr>
              <w:jc w:val="center"/>
              <w:rPr>
                <w:color w:val="000000"/>
              </w:rPr>
            </w:pPr>
            <w:r>
              <w:rPr>
                <w:color w:val="000000"/>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FF540" w14:textId="77777777" w:rsidR="00467AD0" w:rsidRDefault="00467AD0">
            <w:pPr>
              <w:jc w:val="center"/>
              <w:rPr>
                <w:color w:val="000000"/>
              </w:rPr>
            </w:pPr>
            <w:r>
              <w:rPr>
                <w:color w:val="000000"/>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08ECA" w14:textId="77777777" w:rsidR="00467AD0" w:rsidRDefault="00467AD0">
            <w:pPr>
              <w:jc w:val="center"/>
              <w:rPr>
                <w:color w:val="000000"/>
              </w:rPr>
            </w:pPr>
            <w:r>
              <w:rPr>
                <w:color w:val="000000"/>
              </w:rPr>
              <w:t>3.2</w:t>
            </w:r>
          </w:p>
        </w:tc>
      </w:tr>
      <w:tr w:rsidR="007F14A2" w14:paraId="4370EAAC" w14:textId="77777777" w:rsidTr="00766DB3">
        <w:trPr>
          <w:trHeight w:val="11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047CB" w14:textId="77777777" w:rsidR="00467AD0" w:rsidRPr="00356D86" w:rsidRDefault="00467AD0" w:rsidP="00356D86">
            <w:r w:rsidRPr="00356D86">
              <w:t>Endeavor</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F3F7E" w14:textId="77777777" w:rsidR="00467AD0" w:rsidRDefault="00467AD0">
            <w:pPr>
              <w:jc w:val="center"/>
              <w:rPr>
                <w:color w:val="000000"/>
              </w:rPr>
            </w:pPr>
            <w:r>
              <w:rPr>
                <w:color w:val="000000"/>
              </w:rPr>
              <w:t>81</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38B48" w14:textId="77777777" w:rsidR="00467AD0" w:rsidRDefault="00467AD0">
            <w:pPr>
              <w:jc w:val="center"/>
              <w:rPr>
                <w:color w:val="000000"/>
              </w:rPr>
            </w:pPr>
            <w:r>
              <w:rPr>
                <w:color w:val="000000"/>
              </w:rPr>
              <w:t>48.2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32012" w14:textId="6EBC96CD" w:rsidR="00467AD0" w:rsidRDefault="004E5A49">
            <w:pPr>
              <w:jc w:val="center"/>
              <w:rPr>
                <w:color w:val="000000"/>
              </w:rPr>
            </w:pPr>
            <w:r>
              <w:rPr>
                <w:color w:val="000000"/>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2475A" w14:textId="77777777" w:rsidR="00467AD0" w:rsidRDefault="00467AD0">
            <w:pPr>
              <w:jc w:val="center"/>
              <w:rPr>
                <w:color w:val="000000"/>
              </w:rPr>
            </w:pPr>
            <w:r>
              <w:rPr>
                <w:color w:val="000000"/>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8285A" w14:textId="77777777" w:rsidR="00467AD0" w:rsidRDefault="00467AD0">
            <w:pPr>
              <w:jc w:val="center"/>
              <w:rPr>
                <w:color w:val="000000"/>
              </w:rPr>
            </w:pPr>
            <w:r>
              <w:rPr>
                <w:color w:val="000000"/>
              </w:rPr>
              <w:t>4.8</w:t>
            </w:r>
          </w:p>
        </w:tc>
      </w:tr>
    </w:tbl>
    <w:p w14:paraId="155A03D2" w14:textId="3298D43F" w:rsidR="001147F9" w:rsidRDefault="001147F9" w:rsidP="00766DB3"/>
    <w:p w14:paraId="2C133F71" w14:textId="77777777" w:rsidR="00E84301" w:rsidRDefault="00E84301" w:rsidP="00766DB3"/>
    <w:p w14:paraId="772B3FE2" w14:textId="53F23A32" w:rsidR="0007298F" w:rsidRDefault="0007298F" w:rsidP="00766DB3">
      <w:pPr>
        <w:spacing w:after="240"/>
      </w:pPr>
      <w:r w:rsidRPr="00766DB3">
        <w:rPr>
          <w:b/>
          <w:bCs/>
        </w:rPr>
        <w:t xml:space="preserve">Table </w:t>
      </w:r>
      <w:r w:rsidR="00092EC3" w:rsidRPr="00766DB3">
        <w:rPr>
          <w:b/>
          <w:bCs/>
        </w:rPr>
        <w:t>5</w:t>
      </w:r>
      <w:r w:rsidRPr="00766DB3">
        <w:rPr>
          <w:b/>
          <w:bCs/>
        </w:rPr>
        <w:t>.</w:t>
      </w:r>
      <w:r>
        <w:t xml:space="preserve"> </w:t>
      </w:r>
      <w:r w:rsidRPr="00E7103E">
        <w:t>Agronomic performance of fall planted DH130910 compared to check cultivars. Average of the 201</w:t>
      </w:r>
      <w:r>
        <w:t>7</w:t>
      </w:r>
      <w:r w:rsidRPr="00F527EF">
        <w:t xml:space="preserve"> </w:t>
      </w:r>
      <w:r>
        <w:t>to</w:t>
      </w:r>
      <w:r w:rsidRPr="00F527EF">
        <w:t xml:space="preserve"> 2019</w:t>
      </w:r>
      <w:r w:rsidRPr="00E7103E">
        <w:t xml:space="preserve"> </w:t>
      </w:r>
      <w:r>
        <w:t>New York state-wide trials</w:t>
      </w:r>
      <w:r w:rsidRPr="00E7103E">
        <w:t>.</w:t>
      </w:r>
    </w:p>
    <w:tbl>
      <w:tblPr>
        <w:tblW w:w="9260" w:type="dxa"/>
        <w:tblLook w:val="04A0" w:firstRow="1" w:lastRow="0" w:firstColumn="1" w:lastColumn="0" w:noHBand="0" w:noVBand="1"/>
      </w:tblPr>
      <w:tblGrid>
        <w:gridCol w:w="1404"/>
        <w:gridCol w:w="1039"/>
        <w:gridCol w:w="1327"/>
        <w:gridCol w:w="1350"/>
        <w:gridCol w:w="2340"/>
        <w:gridCol w:w="1800"/>
      </w:tblGrid>
      <w:tr w:rsidR="00B22FB3" w14:paraId="4189ABBD" w14:textId="77777777" w:rsidTr="00766DB3">
        <w:trPr>
          <w:trHeight w:val="276"/>
        </w:trPr>
        <w:tc>
          <w:tcPr>
            <w:tcW w:w="140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F5C3F5A" w14:textId="77777777" w:rsidR="00467AD0" w:rsidRDefault="00467AD0">
            <w:pPr>
              <w:rPr>
                <w:color w:val="000000"/>
              </w:rPr>
            </w:pPr>
            <w:r>
              <w:rPr>
                <w:color w:val="000000"/>
              </w:rPr>
              <w:t xml:space="preserve">Entry </w:t>
            </w:r>
          </w:p>
        </w:tc>
        <w:tc>
          <w:tcPr>
            <w:tcW w:w="1039"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0F746B9" w14:textId="77777777" w:rsidR="00467AD0" w:rsidRDefault="00467AD0">
            <w:pPr>
              <w:jc w:val="center"/>
              <w:rPr>
                <w:color w:val="000000"/>
              </w:rPr>
            </w:pPr>
            <w:r>
              <w:rPr>
                <w:color w:val="000000"/>
              </w:rPr>
              <w:t>Scald (%)</w:t>
            </w:r>
          </w:p>
        </w:tc>
        <w:tc>
          <w:tcPr>
            <w:tcW w:w="132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960F7C1" w14:textId="6ED89EE8" w:rsidR="00467AD0" w:rsidRDefault="00467AD0">
            <w:pPr>
              <w:jc w:val="center"/>
              <w:rPr>
                <w:color w:val="000000"/>
              </w:rPr>
            </w:pPr>
            <w:r>
              <w:rPr>
                <w:color w:val="000000"/>
              </w:rPr>
              <w:t xml:space="preserve">FHB Index </w:t>
            </w:r>
            <w:r w:rsidR="00356D86">
              <w:rPr>
                <w:color w:val="000000"/>
              </w:rPr>
              <w:t>(</w:t>
            </w:r>
            <w:r>
              <w:rPr>
                <w:color w:val="000000"/>
              </w:rPr>
              <w:t>%</w:t>
            </w:r>
            <w:r w:rsidR="00356D86">
              <w:rPr>
                <w:color w:val="000000"/>
              </w:rPr>
              <w: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80D8B11" w14:textId="58C6024A" w:rsidR="00467AD0" w:rsidRDefault="00467AD0">
            <w:pPr>
              <w:jc w:val="center"/>
              <w:rPr>
                <w:color w:val="000000"/>
              </w:rPr>
            </w:pPr>
            <w:r>
              <w:rPr>
                <w:color w:val="000000"/>
              </w:rPr>
              <w:t xml:space="preserve">DON </w:t>
            </w:r>
            <w:r w:rsidR="00356D86">
              <w:rPr>
                <w:color w:val="000000"/>
              </w:rPr>
              <w:t>(</w:t>
            </w:r>
            <w:r>
              <w:rPr>
                <w:color w:val="000000"/>
              </w:rPr>
              <w:t>ppm</w:t>
            </w:r>
            <w:r w:rsidR="00356D86">
              <w:rPr>
                <w:color w:val="000000"/>
              </w:rPr>
              <w:t>)</w:t>
            </w:r>
          </w:p>
        </w:tc>
        <w:tc>
          <w:tcPr>
            <w:tcW w:w="2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A9CF0DA" w14:textId="3F52B7C2" w:rsidR="00467AD0" w:rsidRDefault="00467AD0">
            <w:pPr>
              <w:jc w:val="center"/>
              <w:rPr>
                <w:color w:val="000000"/>
              </w:rPr>
            </w:pPr>
            <w:r>
              <w:rPr>
                <w:color w:val="000000"/>
              </w:rPr>
              <w:t>Pre</w:t>
            </w:r>
            <w:r w:rsidR="00A14D94">
              <w:rPr>
                <w:color w:val="000000"/>
              </w:rPr>
              <w:t>-</w:t>
            </w:r>
            <w:r>
              <w:rPr>
                <w:color w:val="000000"/>
              </w:rPr>
              <w:t>harvest Sp</w:t>
            </w:r>
            <w:r w:rsidR="000134B1">
              <w:rPr>
                <w:color w:val="000000"/>
              </w:rPr>
              <w:t>r</w:t>
            </w:r>
            <w:r>
              <w:rPr>
                <w:color w:val="000000"/>
              </w:rPr>
              <w:t>outing (0-9)</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1D0C7B2" w14:textId="514882CA" w:rsidR="00467AD0" w:rsidRDefault="00467AD0">
            <w:pPr>
              <w:jc w:val="center"/>
              <w:rPr>
                <w:color w:val="000000"/>
              </w:rPr>
            </w:pPr>
            <w:r>
              <w:rPr>
                <w:color w:val="000000"/>
              </w:rPr>
              <w:t xml:space="preserve">Winter Survival </w:t>
            </w:r>
            <w:r w:rsidR="00356D86">
              <w:rPr>
                <w:color w:val="000000"/>
              </w:rPr>
              <w:t>(</w:t>
            </w:r>
            <w:r>
              <w:rPr>
                <w:color w:val="000000"/>
              </w:rPr>
              <w:t>%</w:t>
            </w:r>
            <w:r w:rsidR="00356D86">
              <w:rPr>
                <w:color w:val="000000"/>
              </w:rPr>
              <w:t>)</w:t>
            </w:r>
          </w:p>
        </w:tc>
      </w:tr>
      <w:tr w:rsidR="00B22FB3" w14:paraId="372AF706" w14:textId="77777777" w:rsidTr="00766DB3">
        <w:trPr>
          <w:trHeight w:val="322"/>
        </w:trPr>
        <w:tc>
          <w:tcPr>
            <w:tcW w:w="1404" w:type="dxa"/>
            <w:vMerge/>
            <w:tcBorders>
              <w:top w:val="single" w:sz="8" w:space="0" w:color="auto"/>
              <w:left w:val="single" w:sz="8" w:space="0" w:color="auto"/>
              <w:bottom w:val="single" w:sz="8" w:space="0" w:color="000000"/>
              <w:right w:val="single" w:sz="8" w:space="0" w:color="auto"/>
            </w:tcBorders>
            <w:vAlign w:val="center"/>
            <w:hideMark/>
          </w:tcPr>
          <w:p w14:paraId="598E54B7" w14:textId="77777777" w:rsidR="00467AD0" w:rsidRDefault="00467AD0">
            <w:pPr>
              <w:rPr>
                <w:color w:val="000000"/>
              </w:rPr>
            </w:pPr>
          </w:p>
        </w:tc>
        <w:tc>
          <w:tcPr>
            <w:tcW w:w="1039" w:type="dxa"/>
            <w:vMerge/>
            <w:tcBorders>
              <w:top w:val="single" w:sz="8" w:space="0" w:color="auto"/>
              <w:left w:val="single" w:sz="8" w:space="0" w:color="auto"/>
              <w:bottom w:val="single" w:sz="8" w:space="0" w:color="000000"/>
              <w:right w:val="single" w:sz="8" w:space="0" w:color="auto"/>
            </w:tcBorders>
            <w:vAlign w:val="center"/>
            <w:hideMark/>
          </w:tcPr>
          <w:p w14:paraId="4454E645" w14:textId="77777777" w:rsidR="00467AD0" w:rsidRDefault="00467AD0">
            <w:pPr>
              <w:rPr>
                <w:color w:val="000000"/>
              </w:rPr>
            </w:pPr>
          </w:p>
        </w:tc>
        <w:tc>
          <w:tcPr>
            <w:tcW w:w="1327" w:type="dxa"/>
            <w:vMerge/>
            <w:tcBorders>
              <w:top w:val="single" w:sz="8" w:space="0" w:color="auto"/>
              <w:left w:val="single" w:sz="8" w:space="0" w:color="auto"/>
              <w:bottom w:val="single" w:sz="8" w:space="0" w:color="000000"/>
              <w:right w:val="single" w:sz="8" w:space="0" w:color="auto"/>
            </w:tcBorders>
            <w:vAlign w:val="center"/>
            <w:hideMark/>
          </w:tcPr>
          <w:p w14:paraId="0812AD3A" w14:textId="77777777" w:rsidR="00467AD0" w:rsidRDefault="00467AD0">
            <w:pPr>
              <w:rPr>
                <w:color w:val="00000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4F8C3A79" w14:textId="77777777" w:rsidR="00467AD0" w:rsidRDefault="00467AD0">
            <w:pPr>
              <w:rPr>
                <w:color w:val="000000"/>
              </w:rPr>
            </w:pPr>
          </w:p>
        </w:tc>
        <w:tc>
          <w:tcPr>
            <w:tcW w:w="2340" w:type="dxa"/>
            <w:vMerge/>
            <w:tcBorders>
              <w:top w:val="single" w:sz="8" w:space="0" w:color="auto"/>
              <w:left w:val="single" w:sz="8" w:space="0" w:color="auto"/>
              <w:bottom w:val="single" w:sz="8" w:space="0" w:color="000000"/>
              <w:right w:val="single" w:sz="8" w:space="0" w:color="auto"/>
            </w:tcBorders>
            <w:vAlign w:val="center"/>
            <w:hideMark/>
          </w:tcPr>
          <w:p w14:paraId="51AC1AD5" w14:textId="77777777" w:rsidR="00467AD0" w:rsidRDefault="00467AD0">
            <w:pPr>
              <w:rPr>
                <w:color w:val="000000"/>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528E4647" w14:textId="77777777" w:rsidR="00467AD0" w:rsidRDefault="00467AD0">
            <w:pPr>
              <w:rPr>
                <w:color w:val="000000"/>
              </w:rPr>
            </w:pPr>
          </w:p>
        </w:tc>
      </w:tr>
      <w:tr w:rsidR="00B22FB3" w14:paraId="737B2C01" w14:textId="77777777" w:rsidTr="00766DB3">
        <w:trPr>
          <w:trHeight w:val="20"/>
        </w:trPr>
        <w:tc>
          <w:tcPr>
            <w:tcW w:w="1404" w:type="dxa"/>
            <w:tcBorders>
              <w:top w:val="nil"/>
              <w:left w:val="single" w:sz="8" w:space="0" w:color="auto"/>
              <w:bottom w:val="single" w:sz="4" w:space="0" w:color="auto"/>
              <w:right w:val="single" w:sz="8" w:space="0" w:color="auto"/>
            </w:tcBorders>
            <w:shd w:val="clear" w:color="auto" w:fill="auto"/>
            <w:vAlign w:val="center"/>
            <w:hideMark/>
          </w:tcPr>
          <w:p w14:paraId="065363DF" w14:textId="77777777" w:rsidR="00467AD0" w:rsidRDefault="00467AD0">
            <w:pPr>
              <w:rPr>
                <w:i/>
                <w:iCs/>
                <w:color w:val="000000"/>
              </w:rPr>
            </w:pPr>
            <w:r>
              <w:rPr>
                <w:i/>
                <w:iCs/>
                <w:color w:val="000000"/>
              </w:rPr>
              <w:t xml:space="preserve">Station yrs. </w:t>
            </w:r>
          </w:p>
        </w:tc>
        <w:tc>
          <w:tcPr>
            <w:tcW w:w="1039" w:type="dxa"/>
            <w:tcBorders>
              <w:top w:val="nil"/>
              <w:left w:val="single" w:sz="4" w:space="0" w:color="auto"/>
              <w:bottom w:val="single" w:sz="4" w:space="0" w:color="auto"/>
              <w:right w:val="single" w:sz="8" w:space="0" w:color="auto"/>
            </w:tcBorders>
            <w:shd w:val="clear" w:color="auto" w:fill="auto"/>
            <w:vAlign w:val="center"/>
            <w:hideMark/>
          </w:tcPr>
          <w:p w14:paraId="482B0873" w14:textId="77777777" w:rsidR="00467AD0" w:rsidRDefault="00467AD0">
            <w:pPr>
              <w:jc w:val="center"/>
              <w:rPr>
                <w:i/>
                <w:iCs/>
                <w:color w:val="000000"/>
              </w:rPr>
            </w:pPr>
            <w:r>
              <w:rPr>
                <w:i/>
                <w:iCs/>
                <w:color w:val="000000"/>
              </w:rPr>
              <w:t>6</w:t>
            </w:r>
          </w:p>
        </w:tc>
        <w:tc>
          <w:tcPr>
            <w:tcW w:w="1327" w:type="dxa"/>
            <w:tcBorders>
              <w:top w:val="nil"/>
              <w:left w:val="nil"/>
              <w:bottom w:val="single" w:sz="4" w:space="0" w:color="auto"/>
              <w:right w:val="single" w:sz="8" w:space="0" w:color="auto"/>
            </w:tcBorders>
            <w:shd w:val="clear" w:color="auto" w:fill="auto"/>
            <w:vAlign w:val="center"/>
            <w:hideMark/>
          </w:tcPr>
          <w:p w14:paraId="35F00496" w14:textId="77777777" w:rsidR="00467AD0" w:rsidRDefault="00467AD0">
            <w:pPr>
              <w:jc w:val="center"/>
              <w:rPr>
                <w:i/>
                <w:iCs/>
                <w:color w:val="000000"/>
              </w:rPr>
            </w:pPr>
            <w:r>
              <w:rPr>
                <w:i/>
                <w:iCs/>
                <w:color w:val="000000"/>
              </w:rPr>
              <w:t>4</w:t>
            </w:r>
          </w:p>
        </w:tc>
        <w:tc>
          <w:tcPr>
            <w:tcW w:w="1350" w:type="dxa"/>
            <w:tcBorders>
              <w:top w:val="nil"/>
              <w:left w:val="nil"/>
              <w:bottom w:val="single" w:sz="4" w:space="0" w:color="auto"/>
              <w:right w:val="single" w:sz="8" w:space="0" w:color="auto"/>
            </w:tcBorders>
            <w:shd w:val="clear" w:color="auto" w:fill="auto"/>
            <w:vAlign w:val="center"/>
            <w:hideMark/>
          </w:tcPr>
          <w:p w14:paraId="53ECBC0B" w14:textId="77777777" w:rsidR="00467AD0" w:rsidRDefault="00467AD0">
            <w:pPr>
              <w:jc w:val="center"/>
              <w:rPr>
                <w:i/>
                <w:iCs/>
                <w:color w:val="000000"/>
              </w:rPr>
            </w:pPr>
            <w:r>
              <w:rPr>
                <w:i/>
                <w:iCs/>
                <w:color w:val="000000"/>
              </w:rPr>
              <w:t>4</w:t>
            </w:r>
          </w:p>
        </w:tc>
        <w:tc>
          <w:tcPr>
            <w:tcW w:w="2340" w:type="dxa"/>
            <w:tcBorders>
              <w:top w:val="nil"/>
              <w:left w:val="nil"/>
              <w:bottom w:val="single" w:sz="4" w:space="0" w:color="auto"/>
              <w:right w:val="single" w:sz="8" w:space="0" w:color="auto"/>
            </w:tcBorders>
            <w:shd w:val="clear" w:color="auto" w:fill="auto"/>
            <w:vAlign w:val="center"/>
            <w:hideMark/>
          </w:tcPr>
          <w:p w14:paraId="3BF6CBC3" w14:textId="77777777" w:rsidR="00467AD0" w:rsidRDefault="00467AD0">
            <w:pPr>
              <w:jc w:val="center"/>
              <w:rPr>
                <w:i/>
                <w:iCs/>
                <w:color w:val="000000"/>
              </w:rPr>
            </w:pPr>
            <w:r>
              <w:rPr>
                <w:i/>
                <w:iCs/>
                <w:color w:val="000000"/>
              </w:rPr>
              <w:t>4</w:t>
            </w:r>
          </w:p>
        </w:tc>
        <w:tc>
          <w:tcPr>
            <w:tcW w:w="1800" w:type="dxa"/>
            <w:tcBorders>
              <w:top w:val="nil"/>
              <w:left w:val="nil"/>
              <w:bottom w:val="single" w:sz="4" w:space="0" w:color="auto"/>
              <w:right w:val="single" w:sz="8" w:space="0" w:color="auto"/>
            </w:tcBorders>
            <w:shd w:val="clear" w:color="auto" w:fill="auto"/>
            <w:vAlign w:val="center"/>
            <w:hideMark/>
          </w:tcPr>
          <w:p w14:paraId="05F3C28C" w14:textId="77777777" w:rsidR="00467AD0" w:rsidRDefault="00467AD0">
            <w:pPr>
              <w:jc w:val="center"/>
              <w:rPr>
                <w:i/>
                <w:iCs/>
                <w:color w:val="000000"/>
              </w:rPr>
            </w:pPr>
            <w:r>
              <w:rPr>
                <w:i/>
                <w:iCs/>
                <w:color w:val="000000"/>
              </w:rPr>
              <w:t>6</w:t>
            </w:r>
          </w:p>
        </w:tc>
      </w:tr>
      <w:tr w:rsidR="00B22FB3" w14:paraId="6BE36299" w14:textId="77777777" w:rsidTr="00766DB3">
        <w:trPr>
          <w:trHeight w:val="20"/>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41693" w14:textId="77777777" w:rsidR="00467AD0" w:rsidRDefault="00467AD0">
            <w:pPr>
              <w:rPr>
                <w:color w:val="000000"/>
              </w:rPr>
            </w:pPr>
            <w:r>
              <w:rPr>
                <w:color w:val="000000"/>
              </w:rPr>
              <w:t>DH130910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2FB1D" w14:textId="77777777" w:rsidR="00467AD0" w:rsidRDefault="00467AD0">
            <w:pPr>
              <w:jc w:val="center"/>
              <w:rPr>
                <w:color w:val="000000"/>
              </w:rPr>
            </w:pPr>
            <w:r>
              <w:rPr>
                <w:color w:val="000000"/>
              </w:rPr>
              <w:t>14</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6F16" w14:textId="77777777" w:rsidR="00467AD0" w:rsidRDefault="00467AD0">
            <w:pPr>
              <w:jc w:val="center"/>
              <w:rPr>
                <w:color w:val="000000"/>
              </w:rPr>
            </w:pPr>
            <w:r>
              <w:rPr>
                <w:color w:val="000000"/>
              </w:rPr>
              <w:t>5.8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A79E1" w14:textId="77777777" w:rsidR="00467AD0" w:rsidRDefault="00467AD0">
            <w:pPr>
              <w:jc w:val="center"/>
              <w:rPr>
                <w:color w:val="000000"/>
              </w:rPr>
            </w:pPr>
            <w:r>
              <w:rPr>
                <w:color w:val="000000"/>
              </w:rPr>
              <w:t>13.9</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2933D" w14:textId="77777777" w:rsidR="00467AD0" w:rsidRDefault="00467AD0">
            <w:pPr>
              <w:jc w:val="center"/>
              <w:rPr>
                <w:color w:val="000000"/>
              </w:rPr>
            </w:pPr>
            <w:r>
              <w:rPr>
                <w:color w:val="000000"/>
              </w:rPr>
              <w:t>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77796" w14:textId="77777777" w:rsidR="00467AD0" w:rsidRDefault="00467AD0">
            <w:pPr>
              <w:jc w:val="center"/>
              <w:rPr>
                <w:color w:val="000000"/>
              </w:rPr>
            </w:pPr>
            <w:r>
              <w:rPr>
                <w:color w:val="000000"/>
              </w:rPr>
              <w:t>65</w:t>
            </w:r>
          </w:p>
        </w:tc>
      </w:tr>
      <w:tr w:rsidR="00B22FB3" w14:paraId="712E2A31" w14:textId="77777777" w:rsidTr="00766DB3">
        <w:trPr>
          <w:trHeight w:val="20"/>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A6EC3" w14:textId="77777777" w:rsidR="00467AD0" w:rsidRDefault="00467AD0">
            <w:pPr>
              <w:rPr>
                <w:color w:val="000000"/>
              </w:rPr>
            </w:pPr>
            <w:r>
              <w:rPr>
                <w:color w:val="000000"/>
              </w:rPr>
              <w:t>KWS Scala</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7E6F5" w14:textId="77777777" w:rsidR="00467AD0" w:rsidRDefault="00467AD0">
            <w:pPr>
              <w:jc w:val="center"/>
              <w:rPr>
                <w:color w:val="000000"/>
              </w:rPr>
            </w:pPr>
            <w:r>
              <w:rPr>
                <w:color w:val="000000"/>
              </w:rPr>
              <w:t>48</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44715" w14:textId="77777777" w:rsidR="00467AD0" w:rsidRDefault="00467AD0">
            <w:pPr>
              <w:jc w:val="center"/>
              <w:rPr>
                <w:color w:val="000000"/>
              </w:rPr>
            </w:pPr>
            <w:r>
              <w:rPr>
                <w:color w:val="000000"/>
              </w:rPr>
              <w:t>11.2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7B0B1" w14:textId="77777777" w:rsidR="00467AD0" w:rsidRDefault="00467AD0">
            <w:pPr>
              <w:jc w:val="center"/>
              <w:rPr>
                <w:color w:val="000000"/>
              </w:rPr>
            </w:pPr>
            <w:r>
              <w:rPr>
                <w:color w:val="000000"/>
              </w:rPr>
              <w:t>14.5</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5BC2" w14:textId="77777777" w:rsidR="00467AD0" w:rsidRDefault="00467AD0">
            <w:pPr>
              <w:jc w:val="center"/>
              <w:rPr>
                <w:color w:val="000000"/>
              </w:rPr>
            </w:pPr>
            <w:r>
              <w:rPr>
                <w:color w:val="000000"/>
              </w:rPr>
              <w:t>0.8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6D2B4" w14:textId="77777777" w:rsidR="00467AD0" w:rsidRDefault="00467AD0">
            <w:pPr>
              <w:jc w:val="center"/>
              <w:rPr>
                <w:color w:val="000000"/>
              </w:rPr>
            </w:pPr>
            <w:r>
              <w:rPr>
                <w:color w:val="000000"/>
              </w:rPr>
              <w:t>63</w:t>
            </w:r>
          </w:p>
        </w:tc>
      </w:tr>
      <w:tr w:rsidR="00B22FB3" w14:paraId="703BE6D9" w14:textId="77777777" w:rsidTr="00766DB3">
        <w:trPr>
          <w:trHeight w:val="20"/>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57BBC" w14:textId="77777777" w:rsidR="00467AD0" w:rsidRDefault="00467AD0">
            <w:pPr>
              <w:rPr>
                <w:color w:val="000000"/>
              </w:rPr>
            </w:pPr>
            <w:r>
              <w:rPr>
                <w:color w:val="000000"/>
              </w:rPr>
              <w:t>Endeavor</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89E5C" w14:textId="77777777" w:rsidR="00467AD0" w:rsidRDefault="00467AD0">
            <w:pPr>
              <w:jc w:val="center"/>
              <w:rPr>
                <w:color w:val="000000"/>
              </w:rPr>
            </w:pPr>
            <w:r>
              <w:rPr>
                <w:color w:val="000000"/>
              </w:rPr>
              <w:t>57</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FF8B4" w14:textId="77777777" w:rsidR="00467AD0" w:rsidRDefault="00467AD0">
            <w:pPr>
              <w:jc w:val="center"/>
              <w:rPr>
                <w:color w:val="000000"/>
              </w:rPr>
            </w:pPr>
            <w:r>
              <w:rPr>
                <w:color w:val="000000"/>
              </w:rPr>
              <w:t>4.6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4DD98" w14:textId="77777777" w:rsidR="00467AD0" w:rsidRDefault="00467AD0">
            <w:pPr>
              <w:jc w:val="center"/>
              <w:rPr>
                <w:color w:val="000000"/>
              </w:rPr>
            </w:pPr>
            <w:r>
              <w:rPr>
                <w:color w:val="000000"/>
              </w:rPr>
              <w:t>16.6</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5DFA4" w14:textId="77777777" w:rsidR="00467AD0" w:rsidRDefault="00467AD0">
            <w:pPr>
              <w:jc w:val="center"/>
              <w:rPr>
                <w:color w:val="000000"/>
              </w:rPr>
            </w:pPr>
            <w:r>
              <w:rPr>
                <w:color w:val="000000"/>
              </w:rPr>
              <w:t>6.0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1851A" w14:textId="77777777" w:rsidR="00467AD0" w:rsidRDefault="00467AD0">
            <w:pPr>
              <w:jc w:val="center"/>
              <w:rPr>
                <w:color w:val="000000"/>
              </w:rPr>
            </w:pPr>
            <w:r>
              <w:rPr>
                <w:color w:val="000000"/>
              </w:rPr>
              <w:t>59</w:t>
            </w:r>
          </w:p>
        </w:tc>
      </w:tr>
    </w:tbl>
    <w:p w14:paraId="63DB7D6C" w14:textId="77777777" w:rsidR="001D6C5D" w:rsidRDefault="001D6C5D" w:rsidP="008F0BA2">
      <w:pPr>
        <w:spacing w:after="240" w:line="480" w:lineRule="auto"/>
      </w:pPr>
    </w:p>
    <w:p w14:paraId="516ABF17" w14:textId="77777777" w:rsidR="008F0BA2" w:rsidRPr="00B127A0" w:rsidRDefault="008F0BA2" w:rsidP="008F0BA2">
      <w:pPr>
        <w:spacing w:after="240" w:line="480" w:lineRule="auto"/>
        <w:rPr>
          <w:b/>
        </w:rPr>
      </w:pPr>
      <w:r w:rsidRPr="00B127A0">
        <w:rPr>
          <w:b/>
        </w:rPr>
        <w:t xml:space="preserve">Resistance to abiotic and biotic stresses </w:t>
      </w:r>
    </w:p>
    <w:p w14:paraId="64FCCB15" w14:textId="51896B98" w:rsidR="00A15494" w:rsidRDefault="00E31BF7" w:rsidP="00B127A0">
      <w:pPr>
        <w:spacing w:after="240" w:line="480" w:lineRule="auto"/>
      </w:pPr>
      <w:r w:rsidRPr="00B127A0">
        <w:t xml:space="preserve">Winter injury is the principal threat to fall-planted malting barley. </w:t>
      </w:r>
      <w:r w:rsidR="008F0BA2">
        <w:t xml:space="preserve">Winter survival was measured across the WMBT trials </w:t>
      </w:r>
      <w:r w:rsidR="00092EC3">
        <w:t xml:space="preserve">and New York state-wide trials. </w:t>
      </w:r>
      <w:r w:rsidR="002352CE">
        <w:t xml:space="preserve">In the WMBT, </w:t>
      </w:r>
      <w:r w:rsidR="00E02D96">
        <w:t>DH</w:t>
      </w:r>
      <w:r w:rsidR="008F0BA2">
        <w:t>130910 showed the highest winter survival rate</w:t>
      </w:r>
      <w:r w:rsidR="002352CE">
        <w:t xml:space="preserve"> compared to checks</w:t>
      </w:r>
      <w:r w:rsidR="008F0BA2">
        <w:t xml:space="preserve"> (average of 76% across 14 station years). This is considerabl</w:t>
      </w:r>
      <w:r w:rsidR="004C7DFB">
        <w:t>y</w:t>
      </w:r>
      <w:r w:rsidR="008F0BA2">
        <w:t xml:space="preserve"> higher than the 64% survival rate observed for Endeavor</w:t>
      </w:r>
      <w:r w:rsidR="00755E20">
        <w:t xml:space="preserve">, and 2 percent points </w:t>
      </w:r>
      <w:r w:rsidR="00755E20">
        <w:lastRenderedPageBreak/>
        <w:t xml:space="preserve">higher than Wintmalt, which is a winter variety considered to have a good level of </w:t>
      </w:r>
      <w:r w:rsidR="00E71693">
        <w:t>winter hardiness</w:t>
      </w:r>
      <w:r w:rsidR="00755E20">
        <w:t>.</w:t>
      </w:r>
      <w:r w:rsidR="00DA7C76">
        <w:t xml:space="preserve"> </w:t>
      </w:r>
      <w:r w:rsidR="00A15494">
        <w:t xml:space="preserve">In New York, DH130910 was equal to KWS Scala for winter survival and more winter hardy than Endeavor (Table </w:t>
      </w:r>
      <w:r w:rsidR="00092EC3">
        <w:t>5</w:t>
      </w:r>
      <w:r w:rsidR="00A15494">
        <w:t>).</w:t>
      </w:r>
    </w:p>
    <w:p w14:paraId="5A640D37" w14:textId="3D810318" w:rsidR="00AD3E5A" w:rsidRDefault="00755E20" w:rsidP="00B127A0">
      <w:pPr>
        <w:spacing w:after="240" w:line="480" w:lineRule="auto"/>
      </w:pPr>
      <w:r>
        <w:t xml:space="preserve">Disease susceptibility was measured </w:t>
      </w:r>
      <w:r w:rsidR="00BA1D72">
        <w:t>for</w:t>
      </w:r>
      <w:r>
        <w:t xml:space="preserve"> the principal diseases in each location.</w:t>
      </w:r>
      <w:r w:rsidR="00F16B90">
        <w:t xml:space="preserve"> In </w:t>
      </w:r>
      <w:r w:rsidR="009F47E4" w:rsidRPr="00B127A0">
        <w:t>the Pacific Northwest</w:t>
      </w:r>
      <w:r w:rsidR="00F16B90">
        <w:t>,</w:t>
      </w:r>
      <w:r w:rsidR="009F47E4" w:rsidRPr="00B127A0">
        <w:t xml:space="preserve"> </w:t>
      </w:r>
      <w:r w:rsidR="00F16B90">
        <w:t xml:space="preserve">especially west of the Cascades, </w:t>
      </w:r>
      <w:r w:rsidR="00F16B90" w:rsidRPr="00B127A0">
        <w:t xml:space="preserve">stripe rust (incited by </w:t>
      </w:r>
      <w:r w:rsidR="00F16B90" w:rsidRPr="00B127A0">
        <w:rPr>
          <w:i/>
        </w:rPr>
        <w:t xml:space="preserve">Puccinia </w:t>
      </w:r>
      <w:proofErr w:type="spellStart"/>
      <w:r w:rsidR="00F16B90" w:rsidRPr="00B127A0">
        <w:rPr>
          <w:i/>
        </w:rPr>
        <w:t>striiformis</w:t>
      </w:r>
      <w:proofErr w:type="spellEnd"/>
      <w:r w:rsidR="00F16B90" w:rsidRPr="00B127A0">
        <w:t xml:space="preserve"> f</w:t>
      </w:r>
      <w:r w:rsidR="00215460">
        <w:t xml:space="preserve">. </w:t>
      </w:r>
      <w:r w:rsidR="00F16B90" w:rsidRPr="00B127A0">
        <w:t xml:space="preserve">sp. </w:t>
      </w:r>
      <w:proofErr w:type="spellStart"/>
      <w:r w:rsidR="00F16B90" w:rsidRPr="00B127A0">
        <w:rPr>
          <w:i/>
        </w:rPr>
        <w:t>hordei</w:t>
      </w:r>
      <w:proofErr w:type="spellEnd"/>
      <w:r w:rsidR="00F16B90" w:rsidRPr="00B127A0">
        <w:t xml:space="preserve">) </w:t>
      </w:r>
      <w:r w:rsidR="00F16B90">
        <w:t xml:space="preserve">and </w:t>
      </w:r>
      <w:r w:rsidR="006067B5" w:rsidRPr="00B127A0">
        <w:t xml:space="preserve">scald (incited by </w:t>
      </w:r>
      <w:proofErr w:type="spellStart"/>
      <w:r w:rsidR="006067B5" w:rsidRPr="00B127A0">
        <w:rPr>
          <w:i/>
        </w:rPr>
        <w:t>Rhynchosporium</w:t>
      </w:r>
      <w:proofErr w:type="spellEnd"/>
      <w:r w:rsidR="006067B5" w:rsidRPr="00B127A0">
        <w:rPr>
          <w:i/>
        </w:rPr>
        <w:t xml:space="preserve"> commune</w:t>
      </w:r>
      <w:r w:rsidR="00F16B90">
        <w:t>) are the principal diseases threatening barley</w:t>
      </w:r>
      <w:r w:rsidR="006067B5" w:rsidRPr="00B127A0">
        <w:t xml:space="preserve">. </w:t>
      </w:r>
      <w:r w:rsidR="00E02D96">
        <w:t xml:space="preserve">In </w:t>
      </w:r>
      <w:r w:rsidR="00AF36EA">
        <w:t>Western Oregon</w:t>
      </w:r>
      <w:r w:rsidR="00E02D96">
        <w:t>, DH</w:t>
      </w:r>
      <w:r w:rsidR="00F16B90">
        <w:t>130910</w:t>
      </w:r>
      <w:r w:rsidR="00BA1D72">
        <w:t xml:space="preserve"> was considerably less susceptible </w:t>
      </w:r>
      <w:r w:rsidR="00F16B90">
        <w:t xml:space="preserve">to stripe rust than </w:t>
      </w:r>
      <w:r w:rsidR="00BA1D72">
        <w:t xml:space="preserve">Wintmalt, and considerably less susceptible </w:t>
      </w:r>
      <w:r w:rsidR="00F16B90">
        <w:t xml:space="preserve">to scald than both checks. </w:t>
      </w:r>
      <w:r w:rsidR="00BA1D72">
        <w:t xml:space="preserve">Wintmalt and Endeavor </w:t>
      </w:r>
      <w:proofErr w:type="gramStart"/>
      <w:r w:rsidR="00BA1D72">
        <w:t>are considered</w:t>
      </w:r>
      <w:r w:rsidR="0049699E">
        <w:t xml:space="preserve"> to be</w:t>
      </w:r>
      <w:proofErr w:type="gramEnd"/>
      <w:r w:rsidR="00BA1D72">
        <w:t xml:space="preserve"> </w:t>
      </w:r>
      <w:r w:rsidR="00CB3364">
        <w:t xml:space="preserve">resistant/moderately resistant to stripe rust and </w:t>
      </w:r>
      <w:r w:rsidR="00BA1D72">
        <w:t xml:space="preserve">susceptible to scald. Therefore, </w:t>
      </w:r>
      <w:r w:rsidR="00E02D96">
        <w:t>DH</w:t>
      </w:r>
      <w:r w:rsidR="00CB3364">
        <w:t xml:space="preserve">130910 can be considered resistant to both stripe rust and scald. </w:t>
      </w:r>
      <w:r w:rsidR="00F16B90">
        <w:t>Across the WMBT locations, the fungal diseases net blotch (</w:t>
      </w:r>
      <w:proofErr w:type="spellStart"/>
      <w:r w:rsidR="00F16B90" w:rsidRPr="00F16B90">
        <w:rPr>
          <w:i/>
        </w:rPr>
        <w:t>Pyrenophora</w:t>
      </w:r>
      <w:proofErr w:type="spellEnd"/>
      <w:r w:rsidR="00F16B90" w:rsidRPr="00F16B90">
        <w:rPr>
          <w:i/>
        </w:rPr>
        <w:t xml:space="preserve"> teres</w:t>
      </w:r>
      <w:r w:rsidR="00F16B90">
        <w:t>) and powdery mildew (</w:t>
      </w:r>
      <w:proofErr w:type="spellStart"/>
      <w:r w:rsidR="00F16B90" w:rsidRPr="00F16B90">
        <w:rPr>
          <w:i/>
        </w:rPr>
        <w:t>Blumeria</w:t>
      </w:r>
      <w:proofErr w:type="spellEnd"/>
      <w:r w:rsidR="00F16B90" w:rsidRPr="00F16B90">
        <w:rPr>
          <w:i/>
        </w:rPr>
        <w:t xml:space="preserve"> </w:t>
      </w:r>
      <w:proofErr w:type="spellStart"/>
      <w:r w:rsidR="00F16B90" w:rsidRPr="00F16B90">
        <w:rPr>
          <w:i/>
        </w:rPr>
        <w:t>graminis</w:t>
      </w:r>
      <w:proofErr w:type="spellEnd"/>
      <w:r w:rsidR="00F16B90">
        <w:t>)</w:t>
      </w:r>
      <w:r w:rsidR="00BA1D72">
        <w:t xml:space="preserve"> were assessed</w:t>
      </w:r>
      <w:r w:rsidR="00F16B90">
        <w:t xml:space="preserve">. All three entries </w:t>
      </w:r>
      <w:r w:rsidR="00BA1D72">
        <w:t xml:space="preserve">were </w:t>
      </w:r>
      <w:r w:rsidR="00215460">
        <w:t xml:space="preserve">rated </w:t>
      </w:r>
      <w:r w:rsidR="00BA1D72">
        <w:t xml:space="preserve">equally </w:t>
      </w:r>
      <w:r w:rsidR="00215460">
        <w:t>for</w:t>
      </w:r>
      <w:r w:rsidR="00E02D96">
        <w:t xml:space="preserve"> net blotch, </w:t>
      </w:r>
      <w:r w:rsidR="00215460">
        <w:t xml:space="preserve">and </w:t>
      </w:r>
      <w:r w:rsidR="00E02D96">
        <w:t>DH</w:t>
      </w:r>
      <w:r w:rsidR="00F16B90">
        <w:t xml:space="preserve">130910 </w:t>
      </w:r>
      <w:r w:rsidR="00BA1D72">
        <w:t xml:space="preserve">was the least susceptible to powdery mildew. </w:t>
      </w:r>
      <w:r w:rsidR="00AD3E5A">
        <w:t xml:space="preserve">In the Idaho trials </w:t>
      </w:r>
      <w:r w:rsidR="005735A3">
        <w:t>no disease data was reported.</w:t>
      </w:r>
      <w:r w:rsidR="00BA1D72" w:rsidRPr="00B127A0">
        <w:t xml:space="preserve"> </w:t>
      </w:r>
      <w:r w:rsidR="00A15494">
        <w:t xml:space="preserve">In New York, scald and fusarium head blight (caused by </w:t>
      </w:r>
      <w:r w:rsidR="00A15494" w:rsidRPr="00766DB3">
        <w:rPr>
          <w:i/>
        </w:rPr>
        <w:t xml:space="preserve">Fusarium </w:t>
      </w:r>
      <w:proofErr w:type="spellStart"/>
      <w:r w:rsidR="00A15494" w:rsidRPr="00766DB3">
        <w:rPr>
          <w:i/>
        </w:rPr>
        <w:t>graminearum</w:t>
      </w:r>
      <w:proofErr w:type="spellEnd"/>
      <w:r w:rsidR="00A15494">
        <w:t>) are the two most important diseases in winter barley</w:t>
      </w:r>
      <w:r w:rsidR="00A3351A">
        <w:t xml:space="preserve"> and DH130910 showed very good resistance to scald (Table </w:t>
      </w:r>
      <w:r w:rsidR="00AF36EA">
        <w:t>5</w:t>
      </w:r>
      <w:r w:rsidR="00A3351A">
        <w:t>)</w:t>
      </w:r>
      <w:r w:rsidR="00A15494">
        <w:t>.</w:t>
      </w:r>
    </w:p>
    <w:p w14:paraId="4B71E308" w14:textId="62505983" w:rsidR="00AD3E5A" w:rsidRDefault="006077DE" w:rsidP="00AD3E5A">
      <w:pPr>
        <w:spacing w:after="240" w:line="480" w:lineRule="auto"/>
      </w:pPr>
      <w:r w:rsidRPr="006077DE">
        <w:t xml:space="preserve">Disease data other than that shown in </w:t>
      </w:r>
      <w:r w:rsidR="0049699E">
        <w:t>T</w:t>
      </w:r>
      <w:r w:rsidRPr="006077DE">
        <w:t xml:space="preserve">ables </w:t>
      </w:r>
      <w:r w:rsidR="00447BCD">
        <w:t>1</w:t>
      </w:r>
      <w:r w:rsidR="0049699E">
        <w:t xml:space="preserve"> and</w:t>
      </w:r>
      <w:r w:rsidR="00447BCD" w:rsidRPr="0059025A">
        <w:t xml:space="preserve"> </w:t>
      </w:r>
      <w:r w:rsidRPr="00766DB3">
        <w:t>2</w:t>
      </w:r>
      <w:r w:rsidR="0049699E">
        <w:t xml:space="preserve"> </w:t>
      </w:r>
      <w:r w:rsidRPr="006077DE">
        <w:t xml:space="preserve">are available from a subset of environments. </w:t>
      </w:r>
      <w:r w:rsidR="00E02D96">
        <w:t xml:space="preserve">Overall, </w:t>
      </w:r>
      <w:r w:rsidR="00AD3E5A" w:rsidRPr="006077DE">
        <w:t xml:space="preserve">DH130910 has </w:t>
      </w:r>
      <w:r w:rsidR="00E02D96">
        <w:t xml:space="preserve">demonstrated </w:t>
      </w:r>
      <w:r w:rsidR="00AD3E5A" w:rsidRPr="006077DE">
        <w:t xml:space="preserve">good broad-spectrum disease resistance. It was selected by the Cornell </w:t>
      </w:r>
      <w:r w:rsidR="001023DD">
        <w:t xml:space="preserve">University cereals </w:t>
      </w:r>
      <w:r w:rsidR="00AD3E5A" w:rsidRPr="006077DE">
        <w:t>program based on its resistance to</w:t>
      </w:r>
      <w:r w:rsidR="00A3351A">
        <w:t xml:space="preserve"> scald and</w:t>
      </w:r>
      <w:r w:rsidR="00AD3E5A" w:rsidRPr="006077DE">
        <w:t xml:space="preserve"> Fusarium </w:t>
      </w:r>
      <w:r w:rsidR="00177FD1">
        <w:t>h</w:t>
      </w:r>
      <w:r w:rsidR="00AD3E5A" w:rsidRPr="006077DE">
        <w:t xml:space="preserve">ead </w:t>
      </w:r>
      <w:r w:rsidR="002D6FEA">
        <w:t>blight (FHB)</w:t>
      </w:r>
      <w:r w:rsidR="00AD3E5A" w:rsidRPr="006077DE">
        <w:t xml:space="preserve"> and was used as a parent of crosses from which doubled haploids were produced for the </w:t>
      </w:r>
      <w:r w:rsidR="001023DD">
        <w:t>US Wheat and Barley Scab Initiative (</w:t>
      </w:r>
      <w:r w:rsidR="00AD3E5A" w:rsidRPr="006077DE">
        <w:t>USWBSI</w:t>
      </w:r>
      <w:r w:rsidR="00496DD5">
        <w:t>)</w:t>
      </w:r>
      <w:r w:rsidR="00AD3E5A" w:rsidRPr="006077DE">
        <w:t xml:space="preserve">. In Mt. Holly, VA (2018 data), the </w:t>
      </w:r>
      <w:r w:rsidR="006E7928">
        <w:t>FHB</w:t>
      </w:r>
      <w:r w:rsidR="00AD3E5A" w:rsidRPr="006077DE">
        <w:t xml:space="preserve"> and </w:t>
      </w:r>
      <w:r w:rsidR="006E7928" w:rsidRPr="006E7928">
        <w:rPr>
          <w:color w:val="111111"/>
          <w:shd w:val="clear" w:color="auto" w:fill="FFFFFF"/>
        </w:rPr>
        <w:t xml:space="preserve">deoxynivalenol </w:t>
      </w:r>
      <w:r w:rsidR="006E7928">
        <w:rPr>
          <w:color w:val="111111"/>
          <w:shd w:val="clear" w:color="auto" w:fill="FFFFFF"/>
        </w:rPr>
        <w:t>(</w:t>
      </w:r>
      <w:r w:rsidR="00AD3E5A" w:rsidRPr="006E7928">
        <w:t>D</w:t>
      </w:r>
      <w:r w:rsidR="00AD3E5A" w:rsidRPr="006077DE">
        <w:t>ON</w:t>
      </w:r>
      <w:r w:rsidR="006E7928">
        <w:t>)</w:t>
      </w:r>
      <w:r w:rsidR="00AD3E5A" w:rsidRPr="006077DE">
        <w:t xml:space="preserve"> </w:t>
      </w:r>
      <w:r w:rsidR="006E7928">
        <w:t xml:space="preserve">indexes </w:t>
      </w:r>
      <w:r w:rsidR="00AD3E5A" w:rsidRPr="006077DE">
        <w:t>were 4.1 and 0.7</w:t>
      </w:r>
      <w:r w:rsidR="006E7928">
        <w:t>,</w:t>
      </w:r>
      <w:r w:rsidR="00AD3E5A" w:rsidRPr="006077DE">
        <w:t xml:space="preserve"> respectively. The corresponding values for Endeavor were 6.2 and 3.2 and for Wintmalt were 6.2 and 1.9. At </w:t>
      </w:r>
      <w:r w:rsidR="00AD3E5A" w:rsidRPr="006077DE">
        <w:lastRenderedPageBreak/>
        <w:t xml:space="preserve">Fargo, ND (2018 data), however, the FHB severity for DH130910 was 21 and the DON was 26. Endeavor and Wintmalt were not included in this test: by way of comparison the corresponding values for </w:t>
      </w:r>
      <w:r w:rsidR="00215460">
        <w:t>‘</w:t>
      </w:r>
      <w:r w:rsidR="00AD3E5A" w:rsidRPr="006077DE">
        <w:t>Stander</w:t>
      </w:r>
      <w:r w:rsidR="00215460">
        <w:t>’</w:t>
      </w:r>
      <w:r w:rsidR="00AD3E5A" w:rsidRPr="006077DE">
        <w:t xml:space="preserve"> were 30 and 34.5. </w:t>
      </w:r>
      <w:r w:rsidR="00A3351A">
        <w:t xml:space="preserve">In the New York FHB nursery, the FHB index (combines incidence and severity) was equal to Endeavor which </w:t>
      </w:r>
      <w:proofErr w:type="gramStart"/>
      <w:r w:rsidR="00A3351A">
        <w:t>is considered to be</w:t>
      </w:r>
      <w:proofErr w:type="gramEnd"/>
      <w:r w:rsidR="00A3351A">
        <w:t xml:space="preserve"> one of the more resistant varieties</w:t>
      </w:r>
      <w:r w:rsidR="00215460">
        <w:t xml:space="preserve"> (Table 5)</w:t>
      </w:r>
      <w:r w:rsidR="00A3351A">
        <w:t xml:space="preserve">. However, DON levels were </w:t>
      </w:r>
      <w:proofErr w:type="gramStart"/>
      <w:r w:rsidR="00A3351A">
        <w:t>similar to</w:t>
      </w:r>
      <w:proofErr w:type="gramEnd"/>
      <w:r w:rsidR="00A3351A">
        <w:t xml:space="preserve"> Endeavor and KWS Scala. </w:t>
      </w:r>
      <w:r w:rsidR="00AD3E5A" w:rsidRPr="006077DE">
        <w:t>In the 2019 Barley Stripe Rust Screening Trial (Corvallis, OR and Davis, CA) the average stripe rust severity for DH130910 was 14%, as compared to 72%</w:t>
      </w:r>
      <w:r w:rsidR="00496DD5">
        <w:t xml:space="preserve"> for </w:t>
      </w:r>
      <w:r w:rsidR="00215460">
        <w:t>‘</w:t>
      </w:r>
      <w:r w:rsidR="00496DD5">
        <w:t>Thoroughbred</w:t>
      </w:r>
      <w:r w:rsidR="00215460">
        <w:t>’</w:t>
      </w:r>
      <w:r w:rsidR="00496DD5">
        <w:t>, the susceptible check</w:t>
      </w:r>
      <w:r w:rsidR="00AD3E5A" w:rsidRPr="006077DE">
        <w:t>. At Mount Vernon, WA, there was a severe epidemic of leaf rust in 2016. The leaf rust % severity for DH130910 was 17%, compared to 47% and 28% for Endeavor and Wintmalt, respectively.</w:t>
      </w:r>
      <w:r w:rsidR="001023DD">
        <w:t xml:space="preserve"> </w:t>
      </w:r>
    </w:p>
    <w:p w14:paraId="0DC58B39" w14:textId="7635E112" w:rsidR="009F47E4" w:rsidRDefault="00BA1D72" w:rsidP="00B127A0">
      <w:pPr>
        <w:spacing w:after="240" w:line="480" w:lineRule="auto"/>
      </w:pPr>
      <w:r>
        <w:t>In summary,</w:t>
      </w:r>
      <w:r w:rsidR="00AD3E5A">
        <w:t xml:space="preserve"> based on</w:t>
      </w:r>
      <w:r w:rsidR="00E02D96">
        <w:t xml:space="preserve"> the data obtained</w:t>
      </w:r>
      <w:r w:rsidR="001023DD">
        <w:t xml:space="preserve"> to date</w:t>
      </w:r>
      <w:r w:rsidR="00E02D96">
        <w:t>, DH</w:t>
      </w:r>
      <w:r w:rsidR="00AD3E5A">
        <w:t>130910 is resistant to stripe rust, scald, net blotch and pow</w:t>
      </w:r>
      <w:r w:rsidR="00E02D96">
        <w:t xml:space="preserve">dery mildew, </w:t>
      </w:r>
      <w:r w:rsidR="00AD3E5A">
        <w:t xml:space="preserve">and </w:t>
      </w:r>
      <w:r w:rsidR="006E7928">
        <w:t xml:space="preserve">relatively </w:t>
      </w:r>
      <w:r w:rsidR="00AD3E5A">
        <w:t xml:space="preserve">tolerant to </w:t>
      </w:r>
      <w:r w:rsidR="006E7928">
        <w:t>FHB</w:t>
      </w:r>
      <w:r w:rsidR="00AD3E5A">
        <w:t xml:space="preserve"> and leaf rust.</w:t>
      </w:r>
    </w:p>
    <w:p w14:paraId="4DE057FB" w14:textId="386EF7E5" w:rsidR="000314B3" w:rsidRPr="001023DD" w:rsidRDefault="000314B3" w:rsidP="000314B3">
      <w:pPr>
        <w:spacing w:after="240" w:line="480" w:lineRule="auto"/>
        <w:rPr>
          <w:bCs/>
        </w:rPr>
      </w:pPr>
      <w:r w:rsidRPr="00B127A0">
        <w:rPr>
          <w:b/>
        </w:rPr>
        <w:t xml:space="preserve">Malting quality </w:t>
      </w:r>
    </w:p>
    <w:p w14:paraId="329C2A3A" w14:textId="364B6384" w:rsidR="000314B3" w:rsidRDefault="000314B3" w:rsidP="000314B3">
      <w:pPr>
        <w:spacing w:after="240" w:line="480" w:lineRule="auto"/>
      </w:pPr>
      <w:r w:rsidRPr="00656F35">
        <w:t xml:space="preserve">Malting barley varieties must meet stringent requirements for AMBA approval. DH130910 </w:t>
      </w:r>
      <w:r w:rsidR="00195473" w:rsidRPr="00656F35">
        <w:t xml:space="preserve">is close to meeting </w:t>
      </w:r>
      <w:r w:rsidRPr="00656F35">
        <w:t xml:space="preserve">AMBA specifications </w:t>
      </w:r>
      <w:r w:rsidR="00195473" w:rsidRPr="00656F35">
        <w:t>for</w:t>
      </w:r>
      <w:r w:rsidR="00EA243A" w:rsidRPr="00656F35">
        <w:t xml:space="preserve"> both</w:t>
      </w:r>
      <w:r w:rsidR="00195473" w:rsidRPr="00656F35">
        <w:t xml:space="preserve"> </w:t>
      </w:r>
      <w:r w:rsidR="00EA243A" w:rsidRPr="00656F35">
        <w:t>adjunct two</w:t>
      </w:r>
      <w:r w:rsidR="00195473" w:rsidRPr="00656F35">
        <w:t>-row and all</w:t>
      </w:r>
      <w:r w:rsidR="002D6FEA">
        <w:t xml:space="preserve"> </w:t>
      </w:r>
      <w:r w:rsidR="00195473" w:rsidRPr="00656F35">
        <w:t xml:space="preserve">malt </w:t>
      </w:r>
      <w:r w:rsidR="00EA243A" w:rsidRPr="00656F35">
        <w:t>two-row malt</w:t>
      </w:r>
      <w:r w:rsidR="001A0A11">
        <w:t>ing barley</w:t>
      </w:r>
      <w:r w:rsidR="00195473" w:rsidRPr="00656F35">
        <w:t xml:space="preserve"> </w:t>
      </w:r>
      <w:r w:rsidRPr="00656F35">
        <w:t>(</w:t>
      </w:r>
      <w:r w:rsidRPr="00383037">
        <w:t xml:space="preserve">Table </w:t>
      </w:r>
      <w:r w:rsidR="00C20C5E" w:rsidRPr="00766DB3">
        <w:t>6</w:t>
      </w:r>
      <w:r w:rsidRPr="00656F35">
        <w:t>).</w:t>
      </w:r>
      <w:r>
        <w:t xml:space="preserve"> </w:t>
      </w:r>
      <w:r w:rsidRPr="00C572EC">
        <w:t>In malting quality specifications</w:t>
      </w:r>
      <w:r w:rsidR="00215460">
        <w:t>,</w:t>
      </w:r>
      <w:r w:rsidR="005E1D45">
        <w:t xml:space="preserve"> </w:t>
      </w:r>
      <w:r w:rsidRPr="00C572EC">
        <w:t xml:space="preserve">higher values are better for plump seed </w:t>
      </w:r>
      <w:r w:rsidR="005E1D45">
        <w:t xml:space="preserve">and </w:t>
      </w:r>
      <w:r w:rsidRPr="00C572EC">
        <w:t>malt extract</w:t>
      </w:r>
      <w:r w:rsidR="005E1D45">
        <w:t xml:space="preserve">. Lower values are better for wort beta-glucan. </w:t>
      </w:r>
      <w:r w:rsidR="004F2A59">
        <w:t>There is an upper limit to grain protein and uppe</w:t>
      </w:r>
      <w:r w:rsidR="000064AF">
        <w:t>r/</w:t>
      </w:r>
      <w:r w:rsidR="004F2A59">
        <w:t xml:space="preserve">lower </w:t>
      </w:r>
      <w:r w:rsidR="00672065">
        <w:t>bound</w:t>
      </w:r>
      <w:r w:rsidR="000064AF">
        <w:t>aries</w:t>
      </w:r>
      <w:r w:rsidR="004F2A59">
        <w:t xml:space="preserve"> </w:t>
      </w:r>
      <w:r w:rsidR="00215460">
        <w:t>for</w:t>
      </w:r>
      <w:r w:rsidR="004F2A59">
        <w:t xml:space="preserve"> the soluble/total protein ratio (S/T). </w:t>
      </w:r>
      <w:r w:rsidR="000064AF">
        <w:t>For all</w:t>
      </w:r>
      <w:r w:rsidR="002D6FEA">
        <w:t xml:space="preserve"> </w:t>
      </w:r>
      <w:r w:rsidR="000064AF">
        <w:t xml:space="preserve">malt </w:t>
      </w:r>
      <w:r w:rsidR="00672065">
        <w:t xml:space="preserve">two-row </w:t>
      </w:r>
      <w:r w:rsidR="000064AF">
        <w:t>there are upper limits to wort protein</w:t>
      </w:r>
      <w:r w:rsidR="00EE18C2">
        <w:t xml:space="preserve"> (5.5%)</w:t>
      </w:r>
      <w:r w:rsidR="000064AF">
        <w:t xml:space="preserve"> and upper/lower boundaries for diastatic power</w:t>
      </w:r>
      <w:r w:rsidR="00114589">
        <w:t xml:space="preserve"> (110-150</w:t>
      </w:r>
      <w:r w:rsidR="00EE18C2">
        <w:t xml:space="preserve"> °ASBC</w:t>
      </w:r>
      <w:r w:rsidR="00114589">
        <w:t>)</w:t>
      </w:r>
      <w:r w:rsidR="000064AF">
        <w:t>, alpha amylase</w:t>
      </w:r>
      <w:r w:rsidR="00114589">
        <w:t xml:space="preserve"> (40-70</w:t>
      </w:r>
      <w:r w:rsidR="00EE18C2">
        <w:t xml:space="preserve"> DU</w:t>
      </w:r>
      <w:r w:rsidR="00114589">
        <w:t>)</w:t>
      </w:r>
      <w:r w:rsidR="000064AF">
        <w:t xml:space="preserve">, and free amino nitrogen </w:t>
      </w:r>
      <w:r w:rsidR="00114589">
        <w:t>(140-190</w:t>
      </w:r>
      <w:r w:rsidR="00EE18C2">
        <w:t xml:space="preserve"> ppm</w:t>
      </w:r>
      <w:r w:rsidR="00114589">
        <w:t>)</w:t>
      </w:r>
      <w:r w:rsidR="000064AF">
        <w:t>. For adjunct two-row there are lower limits to diastatic power</w:t>
      </w:r>
      <w:r w:rsidR="00D31937">
        <w:t xml:space="preserve"> (120 °ASBC)</w:t>
      </w:r>
      <w:r w:rsidR="000064AF">
        <w:t>, alpha amylase</w:t>
      </w:r>
      <w:r w:rsidR="00D31937">
        <w:t xml:space="preserve"> (50 DU)</w:t>
      </w:r>
      <w:r w:rsidR="000064AF">
        <w:t xml:space="preserve">, and FAN </w:t>
      </w:r>
      <w:r w:rsidR="00D31937">
        <w:t>(210 ppm)</w:t>
      </w:r>
      <w:r w:rsidR="005521C2">
        <w:t>,</w:t>
      </w:r>
      <w:r w:rsidR="00D31937">
        <w:t xml:space="preserve"> </w:t>
      </w:r>
      <w:r w:rsidR="000064AF">
        <w:t>and upper/lower boundaries for wort protein</w:t>
      </w:r>
      <w:r w:rsidR="00D31937">
        <w:t xml:space="preserve"> (4.8-5.6%)</w:t>
      </w:r>
      <w:r w:rsidR="000064AF">
        <w:t xml:space="preserve">. </w:t>
      </w:r>
    </w:p>
    <w:p w14:paraId="2C0CB815" w14:textId="1809E057" w:rsidR="000314B3" w:rsidRDefault="000314B3" w:rsidP="000314B3">
      <w:pPr>
        <w:spacing w:after="240" w:line="480" w:lineRule="auto"/>
      </w:pPr>
      <w:r w:rsidRPr="00B127A0">
        <w:lastRenderedPageBreak/>
        <w:t xml:space="preserve">The two AMBA checks are currently Endeavor </w:t>
      </w:r>
      <w:r>
        <w:t xml:space="preserve">and </w:t>
      </w:r>
      <w:r w:rsidRPr="00B127A0">
        <w:t>Wintmalt.</w:t>
      </w:r>
      <w:r>
        <w:t xml:space="preserve"> Both are 2-row, winter </w:t>
      </w:r>
      <w:r w:rsidR="00215460">
        <w:t xml:space="preserve">malting </w:t>
      </w:r>
      <w:r>
        <w:t xml:space="preserve">barleys that are </w:t>
      </w:r>
      <w:r w:rsidR="00496DD5">
        <w:t>o</w:t>
      </w:r>
      <w:r>
        <w:t>n the list of AMBA-recommended varieties.</w:t>
      </w:r>
      <w:r w:rsidRPr="00B127A0">
        <w:t xml:space="preserve"> Endeavor was developed by the USDA-ARS program (Aberdeen, Idaho).</w:t>
      </w:r>
      <w:r>
        <w:t xml:space="preserve"> </w:t>
      </w:r>
      <w:r w:rsidRPr="00A67A95">
        <w:t xml:space="preserve">Wintmalt </w:t>
      </w:r>
      <w:r>
        <w:t xml:space="preserve">was developed by KWS (Germany) and </w:t>
      </w:r>
      <w:r w:rsidRPr="00A67A95">
        <w:t xml:space="preserve">is the most </w:t>
      </w:r>
      <w:proofErr w:type="gramStart"/>
      <w:r w:rsidRPr="00A67A95">
        <w:t>widely-grown</w:t>
      </w:r>
      <w:proofErr w:type="gramEnd"/>
      <w:r w:rsidRPr="00A67A95">
        <w:t xml:space="preserve"> winter two-row malting barley in the P</w:t>
      </w:r>
      <w:r w:rsidRPr="006077DE">
        <w:t>acific Northwest. In</w:t>
      </w:r>
      <w:r w:rsidR="006077DE" w:rsidRPr="006077DE">
        <w:t xml:space="preserve"> 9</w:t>
      </w:r>
      <w:r w:rsidRPr="006077DE">
        <w:t xml:space="preserve"> micro-malting tests,</w:t>
      </w:r>
      <w:r w:rsidR="00E02D96">
        <w:t xml:space="preserve"> the malting quality of DH</w:t>
      </w:r>
      <w:r>
        <w:t>130910 was competitive to both checks</w:t>
      </w:r>
      <w:r w:rsidR="00E71693">
        <w:t xml:space="preserve"> (Table </w:t>
      </w:r>
      <w:r w:rsidR="00195473">
        <w:t>6</w:t>
      </w:r>
      <w:r w:rsidR="00E71693">
        <w:t>)</w:t>
      </w:r>
      <w:r w:rsidR="00E02D96">
        <w:t xml:space="preserve">. </w:t>
      </w:r>
      <w:r w:rsidR="008671A5">
        <w:t>The kernel plumpness is much better than Endeavor and superior to Wintmalt. The malt extract values are comparable for the three varieties. Barley protein is slightly higher than the checks, but within specification. The S/T for DH130910 is also within specification for both all</w:t>
      </w:r>
      <w:r w:rsidR="002D6FEA">
        <w:t xml:space="preserve"> </w:t>
      </w:r>
      <w:r w:rsidR="008671A5">
        <w:t xml:space="preserve">malt and adjunct two-row malt. Diastatic power was </w:t>
      </w:r>
      <w:r w:rsidR="005521C2">
        <w:t xml:space="preserve">slightly </w:t>
      </w:r>
      <w:r w:rsidR="008671A5">
        <w:t>above the all</w:t>
      </w:r>
      <w:r w:rsidR="002D6FEA">
        <w:t xml:space="preserve"> </w:t>
      </w:r>
      <w:r w:rsidR="008671A5">
        <w:t xml:space="preserve">malt spec </w:t>
      </w:r>
      <w:r w:rsidR="001A0A11">
        <w:t>but</w:t>
      </w:r>
      <w:r w:rsidR="008671A5">
        <w:t xml:space="preserve"> comparable to that of Endeavor. Alpha amylase activity was at the low end of the all</w:t>
      </w:r>
      <w:r w:rsidR="002D6FEA">
        <w:t xml:space="preserve"> </w:t>
      </w:r>
      <w:r w:rsidR="008671A5">
        <w:t xml:space="preserve">malt criteria however, the low alpha amylase activity translated to excellent resistance to pre-harvest sprouting in the unusually wet Willamette Valley 2019 harvest. The wort beta glucan was much </w:t>
      </w:r>
      <w:r w:rsidR="00215460">
        <w:t>lower</w:t>
      </w:r>
      <w:r w:rsidR="008671A5">
        <w:t xml:space="preserve"> than that of Endeavor and comparable to that of Wintmalt. The FAN is within the all</w:t>
      </w:r>
      <w:r w:rsidR="002D6FEA">
        <w:t xml:space="preserve"> </w:t>
      </w:r>
      <w:r w:rsidR="008671A5">
        <w:t>malt spec</w:t>
      </w:r>
      <w:r w:rsidR="00B26EEB">
        <w:t>ification</w:t>
      </w:r>
      <w:r w:rsidR="008671A5">
        <w:t xml:space="preserve">.  </w:t>
      </w:r>
    </w:p>
    <w:p w14:paraId="3C4C6221" w14:textId="4911F55F" w:rsidR="008671A5" w:rsidRDefault="00EA243A" w:rsidP="000314B3">
      <w:pPr>
        <w:spacing w:after="240" w:line="480" w:lineRule="auto"/>
      </w:pPr>
      <w:r>
        <w:t>DH130910 most closely aligns with the</w:t>
      </w:r>
      <w:r w:rsidR="00E97180">
        <w:t xml:space="preserve"> all malt</w:t>
      </w:r>
      <w:r>
        <w:t xml:space="preserve"> two-row criteria. </w:t>
      </w:r>
      <w:r w:rsidR="00E71693">
        <w:t xml:space="preserve">Of all the malting quality parameters measured, </w:t>
      </w:r>
      <w:r w:rsidR="00E02D96">
        <w:t>DH</w:t>
      </w:r>
      <w:r w:rsidR="00E71693">
        <w:t xml:space="preserve">130910 meets all the AMBA specifications </w:t>
      </w:r>
      <w:r>
        <w:t>except for diastatic power which</w:t>
      </w:r>
      <w:r w:rsidR="004547AD">
        <w:t>, on average</w:t>
      </w:r>
      <w:r>
        <w:t>, falls just outside the 110-150 range at 163.</w:t>
      </w:r>
      <w:r w:rsidR="00291678">
        <w:t xml:space="preserve"> </w:t>
      </w:r>
      <w:r w:rsidR="00AE37A9">
        <w:t xml:space="preserve">According to the AMBA specifications for adjunct two-row DH130910 is slightly low for wort protein (4.6% vs 4.8%), alpha amylase (41 vs 50), and FAN (188 vs 210). </w:t>
      </w:r>
      <w:r w:rsidR="000314B3">
        <w:t xml:space="preserve"> </w:t>
      </w:r>
    </w:p>
    <w:p w14:paraId="0FF00544" w14:textId="702C0CA5" w:rsidR="004A5365" w:rsidRDefault="004A5365" w:rsidP="00B81D89">
      <w:pPr>
        <w:spacing w:after="240" w:line="480" w:lineRule="auto"/>
      </w:pPr>
      <w:r>
        <w:t>In New York, the emphasis is on “All</w:t>
      </w:r>
      <w:r w:rsidR="002D6FEA">
        <w:t xml:space="preserve"> </w:t>
      </w:r>
      <w:r>
        <w:t xml:space="preserve">Malt Quality” because the brewing industry in the Northeast is predominantly craft brewing. </w:t>
      </w:r>
      <w:r w:rsidR="00A80CB1">
        <w:t>Kernels of DH130910 were heavier than KWS Scala and Endeavor</w:t>
      </w:r>
      <w:r w:rsidR="00784605">
        <w:t xml:space="preserve">, </w:t>
      </w:r>
      <w:r w:rsidR="00371FDF">
        <w:t>similar in plumpness to KWS Scala</w:t>
      </w:r>
      <w:r w:rsidR="00784605">
        <w:t>,</w:t>
      </w:r>
      <w:r w:rsidR="00371FDF">
        <w:t xml:space="preserve"> and </w:t>
      </w:r>
      <w:r w:rsidR="00784605">
        <w:t>plumper than</w:t>
      </w:r>
      <w:r w:rsidR="00371FDF">
        <w:t xml:space="preserve"> Endeavor. Malt extract, barley protein, and FAN were </w:t>
      </w:r>
      <w:proofErr w:type="gramStart"/>
      <w:r w:rsidR="00371FDF">
        <w:t>similar to</w:t>
      </w:r>
      <w:proofErr w:type="gramEnd"/>
      <w:r w:rsidR="00371FDF">
        <w:t xml:space="preserve"> checks. DH130910 had slightly lower diastatic power. Endeavor h</w:t>
      </w:r>
      <w:r w:rsidR="00195473">
        <w:t>a</w:t>
      </w:r>
      <w:r w:rsidR="00371FDF">
        <w:t>d the highest beta glucan, KWS the lowest</w:t>
      </w:r>
      <w:r w:rsidR="00784605">
        <w:t>,</w:t>
      </w:r>
      <w:r w:rsidR="00371FDF">
        <w:t xml:space="preserve"> and DH130910 was intermediate and </w:t>
      </w:r>
      <w:r w:rsidR="00371FDF">
        <w:lastRenderedPageBreak/>
        <w:t>slightly higher than specifications. The all malt quality score was similar for DH130910 and KWS Scala and both were superior to Ende</w:t>
      </w:r>
      <w:r w:rsidR="001A0A11">
        <w:t>a</w:t>
      </w:r>
      <w:r w:rsidR="00371FDF">
        <w:t>vor.</w:t>
      </w:r>
    </w:p>
    <w:p w14:paraId="74325735" w14:textId="1AA0F48A" w:rsidR="000314B3" w:rsidRPr="009B3465" w:rsidRDefault="000314B3" w:rsidP="000314B3">
      <w:pPr>
        <w:pStyle w:val="BodyText"/>
        <w:spacing w:line="240" w:lineRule="auto"/>
        <w:rPr>
          <w:szCs w:val="24"/>
        </w:rPr>
      </w:pPr>
      <w:r w:rsidRPr="00766DB3">
        <w:rPr>
          <w:b/>
          <w:bCs/>
          <w:szCs w:val="24"/>
        </w:rPr>
        <w:t xml:space="preserve">Table </w:t>
      </w:r>
      <w:r w:rsidR="00C20C5E" w:rsidRPr="00790D65">
        <w:rPr>
          <w:b/>
          <w:bCs/>
          <w:szCs w:val="24"/>
        </w:rPr>
        <w:t>6</w:t>
      </w:r>
      <w:r w:rsidRPr="00766DB3">
        <w:rPr>
          <w:b/>
          <w:bCs/>
          <w:szCs w:val="24"/>
        </w:rPr>
        <w:t>.</w:t>
      </w:r>
      <w:r w:rsidRPr="00383037">
        <w:rPr>
          <w:szCs w:val="24"/>
        </w:rPr>
        <w:t xml:space="preserve"> Malt</w:t>
      </w:r>
      <w:r w:rsidRPr="009B3465">
        <w:rPr>
          <w:szCs w:val="24"/>
        </w:rPr>
        <w:t xml:space="preserve"> quality</w:t>
      </w:r>
      <w:r w:rsidRPr="009B3465">
        <w:rPr>
          <w:szCs w:val="24"/>
          <w:vertAlign w:val="superscript"/>
        </w:rPr>
        <w:t>1</w:t>
      </w:r>
      <w:r w:rsidRPr="009B3465">
        <w:rPr>
          <w:szCs w:val="24"/>
        </w:rPr>
        <w:t xml:space="preserve"> of DH130910 and check cultivars using data from analyses of barley samples grown at multiple locations in the US (2014-201</w:t>
      </w:r>
      <w:r>
        <w:rPr>
          <w:szCs w:val="24"/>
        </w:rPr>
        <w:t>8</w:t>
      </w:r>
      <w:r w:rsidRPr="009B3465">
        <w:rPr>
          <w:szCs w:val="24"/>
        </w:rPr>
        <w:t>).</w:t>
      </w:r>
    </w:p>
    <w:p w14:paraId="4A4886C3" w14:textId="77777777" w:rsidR="000314B3" w:rsidRPr="003B2C10" w:rsidRDefault="000314B3" w:rsidP="000314B3">
      <w:pPr>
        <w:pStyle w:val="BodyText"/>
        <w:spacing w:line="240" w:lineRule="auto"/>
        <w:rPr>
          <w:szCs w:val="22"/>
        </w:rPr>
      </w:pPr>
    </w:p>
    <w:tbl>
      <w:tblPr>
        <w:tblStyle w:val="TableGrid"/>
        <w:tblW w:w="9625" w:type="dxa"/>
        <w:tblLayout w:type="fixed"/>
        <w:tblLook w:val="04A0" w:firstRow="1" w:lastRow="0" w:firstColumn="1" w:lastColumn="0" w:noHBand="0" w:noVBand="1"/>
      </w:tblPr>
      <w:tblGrid>
        <w:gridCol w:w="1345"/>
        <w:gridCol w:w="990"/>
        <w:gridCol w:w="900"/>
        <w:gridCol w:w="900"/>
        <w:gridCol w:w="900"/>
        <w:gridCol w:w="720"/>
        <w:gridCol w:w="1080"/>
        <w:gridCol w:w="1080"/>
        <w:gridCol w:w="900"/>
        <w:gridCol w:w="810"/>
      </w:tblGrid>
      <w:tr w:rsidR="000314B3" w14:paraId="7F7EA3CD" w14:textId="77777777" w:rsidTr="00766DB3">
        <w:tc>
          <w:tcPr>
            <w:tcW w:w="1345" w:type="dxa"/>
          </w:tcPr>
          <w:p w14:paraId="5B66C014" w14:textId="77777777" w:rsidR="000314B3" w:rsidRPr="001754E2" w:rsidRDefault="000314B3" w:rsidP="00766DB3">
            <w:pPr>
              <w:pStyle w:val="BodyText"/>
              <w:spacing w:line="240" w:lineRule="auto"/>
              <w:rPr>
                <w:sz w:val="22"/>
                <w:szCs w:val="22"/>
              </w:rPr>
            </w:pPr>
            <w:r w:rsidRPr="001754E2">
              <w:rPr>
                <w:sz w:val="22"/>
                <w:szCs w:val="22"/>
              </w:rPr>
              <w:t>Entry</w:t>
            </w:r>
          </w:p>
        </w:tc>
        <w:tc>
          <w:tcPr>
            <w:tcW w:w="990" w:type="dxa"/>
          </w:tcPr>
          <w:p w14:paraId="0FE3A5EC" w14:textId="77777777" w:rsidR="000314B3" w:rsidRPr="00693243" w:rsidRDefault="000314B3" w:rsidP="00554462">
            <w:pPr>
              <w:pStyle w:val="BodyText"/>
              <w:spacing w:line="240" w:lineRule="auto"/>
              <w:jc w:val="center"/>
              <w:rPr>
                <w:sz w:val="22"/>
                <w:szCs w:val="22"/>
              </w:rPr>
            </w:pPr>
            <w:r w:rsidRPr="00693243">
              <w:rPr>
                <w:sz w:val="22"/>
                <w:szCs w:val="22"/>
              </w:rPr>
              <w:t>Plump Kernels (%)</w:t>
            </w:r>
          </w:p>
        </w:tc>
        <w:tc>
          <w:tcPr>
            <w:tcW w:w="900" w:type="dxa"/>
          </w:tcPr>
          <w:p w14:paraId="2B60FC5E" w14:textId="77777777" w:rsidR="000314B3" w:rsidRPr="00766DB3" w:rsidRDefault="000314B3" w:rsidP="00554462">
            <w:pPr>
              <w:pStyle w:val="BodyText"/>
              <w:spacing w:line="240" w:lineRule="auto"/>
              <w:jc w:val="center"/>
              <w:rPr>
                <w:sz w:val="22"/>
                <w:szCs w:val="22"/>
              </w:rPr>
            </w:pPr>
            <w:r w:rsidRPr="00766DB3">
              <w:rPr>
                <w:sz w:val="22"/>
                <w:szCs w:val="22"/>
              </w:rPr>
              <w:t>Malt Extract (%)</w:t>
            </w:r>
          </w:p>
        </w:tc>
        <w:tc>
          <w:tcPr>
            <w:tcW w:w="900" w:type="dxa"/>
          </w:tcPr>
          <w:p w14:paraId="42BE6D60" w14:textId="2BD20E3A" w:rsidR="000314B3" w:rsidRPr="00766DB3" w:rsidRDefault="000314B3" w:rsidP="00554462">
            <w:pPr>
              <w:pStyle w:val="BodyText"/>
              <w:spacing w:line="240" w:lineRule="auto"/>
              <w:jc w:val="center"/>
              <w:rPr>
                <w:sz w:val="22"/>
                <w:szCs w:val="22"/>
              </w:rPr>
            </w:pPr>
            <w:r w:rsidRPr="00766DB3">
              <w:rPr>
                <w:sz w:val="22"/>
                <w:szCs w:val="22"/>
              </w:rPr>
              <w:t xml:space="preserve">Barley </w:t>
            </w:r>
            <w:r w:rsidR="00DA209A" w:rsidRPr="00766DB3">
              <w:rPr>
                <w:sz w:val="22"/>
                <w:szCs w:val="22"/>
              </w:rPr>
              <w:t>P</w:t>
            </w:r>
            <w:r w:rsidRPr="00766DB3">
              <w:rPr>
                <w:sz w:val="22"/>
                <w:szCs w:val="22"/>
              </w:rPr>
              <w:t>rotein (%)</w:t>
            </w:r>
          </w:p>
        </w:tc>
        <w:tc>
          <w:tcPr>
            <w:tcW w:w="900" w:type="dxa"/>
          </w:tcPr>
          <w:p w14:paraId="1E76E3CE" w14:textId="34789479" w:rsidR="000314B3" w:rsidRPr="00766DB3" w:rsidRDefault="000314B3" w:rsidP="00554462">
            <w:pPr>
              <w:pStyle w:val="BodyText"/>
              <w:spacing w:line="240" w:lineRule="auto"/>
              <w:jc w:val="center"/>
              <w:rPr>
                <w:sz w:val="22"/>
                <w:szCs w:val="22"/>
              </w:rPr>
            </w:pPr>
            <w:r w:rsidRPr="00766DB3">
              <w:rPr>
                <w:sz w:val="22"/>
                <w:szCs w:val="22"/>
              </w:rPr>
              <w:t xml:space="preserve">Wort </w:t>
            </w:r>
            <w:r w:rsidR="00DA209A" w:rsidRPr="00766DB3">
              <w:rPr>
                <w:sz w:val="22"/>
                <w:szCs w:val="22"/>
              </w:rPr>
              <w:t>P</w:t>
            </w:r>
            <w:r w:rsidRPr="00766DB3">
              <w:rPr>
                <w:sz w:val="22"/>
                <w:szCs w:val="22"/>
              </w:rPr>
              <w:t>rotein (%)</w:t>
            </w:r>
          </w:p>
        </w:tc>
        <w:tc>
          <w:tcPr>
            <w:tcW w:w="720" w:type="dxa"/>
          </w:tcPr>
          <w:p w14:paraId="520E06D7" w14:textId="77777777" w:rsidR="000314B3" w:rsidRPr="00766DB3" w:rsidRDefault="000314B3" w:rsidP="00554462">
            <w:pPr>
              <w:pStyle w:val="BodyText"/>
              <w:spacing w:line="240" w:lineRule="auto"/>
              <w:jc w:val="center"/>
              <w:rPr>
                <w:sz w:val="22"/>
                <w:szCs w:val="22"/>
              </w:rPr>
            </w:pPr>
            <w:r w:rsidRPr="00766DB3">
              <w:rPr>
                <w:sz w:val="22"/>
                <w:szCs w:val="22"/>
              </w:rPr>
              <w:t>S/T</w:t>
            </w:r>
          </w:p>
          <w:p w14:paraId="7F293800" w14:textId="77777777" w:rsidR="000314B3" w:rsidRPr="00766DB3" w:rsidRDefault="000314B3" w:rsidP="00554462">
            <w:pPr>
              <w:pStyle w:val="BodyText"/>
              <w:spacing w:line="240" w:lineRule="auto"/>
              <w:jc w:val="center"/>
              <w:rPr>
                <w:sz w:val="22"/>
                <w:szCs w:val="22"/>
              </w:rPr>
            </w:pPr>
            <w:r w:rsidRPr="00766DB3">
              <w:rPr>
                <w:sz w:val="22"/>
                <w:szCs w:val="22"/>
              </w:rPr>
              <w:t>(%)</w:t>
            </w:r>
          </w:p>
        </w:tc>
        <w:tc>
          <w:tcPr>
            <w:tcW w:w="1080" w:type="dxa"/>
          </w:tcPr>
          <w:p w14:paraId="6B56464B" w14:textId="77777777" w:rsidR="000314B3" w:rsidRPr="00766DB3" w:rsidRDefault="000314B3" w:rsidP="00554462">
            <w:pPr>
              <w:pStyle w:val="BodyText"/>
              <w:spacing w:line="240" w:lineRule="auto"/>
              <w:jc w:val="center"/>
              <w:rPr>
                <w:sz w:val="22"/>
                <w:szCs w:val="22"/>
              </w:rPr>
            </w:pPr>
            <w:r w:rsidRPr="00766DB3">
              <w:rPr>
                <w:sz w:val="22"/>
                <w:szCs w:val="22"/>
              </w:rPr>
              <w:t>DP</w:t>
            </w:r>
          </w:p>
          <w:p w14:paraId="67D39378" w14:textId="77777777" w:rsidR="000314B3" w:rsidRPr="00766DB3" w:rsidRDefault="000314B3" w:rsidP="00554462">
            <w:pPr>
              <w:pStyle w:val="BodyText"/>
              <w:spacing w:line="240" w:lineRule="auto"/>
              <w:jc w:val="center"/>
              <w:rPr>
                <w:sz w:val="22"/>
                <w:szCs w:val="22"/>
              </w:rPr>
            </w:pPr>
            <w:r w:rsidRPr="00766DB3">
              <w:rPr>
                <w:sz w:val="22"/>
                <w:szCs w:val="22"/>
              </w:rPr>
              <w:t>(</w:t>
            </w:r>
            <w:r w:rsidRPr="00766DB3">
              <w:rPr>
                <w:sz w:val="22"/>
                <w:szCs w:val="22"/>
                <w:vertAlign w:val="superscript"/>
              </w:rPr>
              <w:t>0</w:t>
            </w:r>
            <w:r w:rsidRPr="00766DB3">
              <w:rPr>
                <w:sz w:val="22"/>
                <w:szCs w:val="22"/>
              </w:rPr>
              <w:t>ASBC)</w:t>
            </w:r>
          </w:p>
        </w:tc>
        <w:tc>
          <w:tcPr>
            <w:tcW w:w="1080" w:type="dxa"/>
          </w:tcPr>
          <w:p w14:paraId="3ACD55E9" w14:textId="10E4B1CA" w:rsidR="000314B3" w:rsidRPr="00766DB3" w:rsidRDefault="000314B3" w:rsidP="00554462">
            <w:pPr>
              <w:pStyle w:val="BodyText"/>
              <w:spacing w:line="240" w:lineRule="auto"/>
              <w:jc w:val="center"/>
              <w:rPr>
                <w:sz w:val="22"/>
                <w:szCs w:val="22"/>
              </w:rPr>
            </w:pPr>
            <w:r w:rsidRPr="00766DB3">
              <w:rPr>
                <w:sz w:val="22"/>
                <w:szCs w:val="22"/>
              </w:rPr>
              <w:t xml:space="preserve">Alpha </w:t>
            </w:r>
            <w:r w:rsidR="00DA209A" w:rsidRPr="00766DB3">
              <w:rPr>
                <w:sz w:val="22"/>
                <w:szCs w:val="22"/>
              </w:rPr>
              <w:t>A</w:t>
            </w:r>
            <w:r w:rsidRPr="00766DB3">
              <w:rPr>
                <w:sz w:val="22"/>
                <w:szCs w:val="22"/>
              </w:rPr>
              <w:t>mylase</w:t>
            </w:r>
          </w:p>
          <w:p w14:paraId="72659406" w14:textId="77777777" w:rsidR="000314B3" w:rsidRPr="00766DB3" w:rsidRDefault="000314B3" w:rsidP="00554462">
            <w:pPr>
              <w:pStyle w:val="BodyText"/>
              <w:spacing w:line="240" w:lineRule="auto"/>
              <w:jc w:val="center"/>
              <w:rPr>
                <w:sz w:val="22"/>
                <w:szCs w:val="22"/>
              </w:rPr>
            </w:pPr>
            <w:r w:rsidRPr="00766DB3">
              <w:rPr>
                <w:sz w:val="22"/>
                <w:szCs w:val="22"/>
              </w:rPr>
              <w:t>(20°DU)</w:t>
            </w:r>
          </w:p>
        </w:tc>
        <w:tc>
          <w:tcPr>
            <w:tcW w:w="900" w:type="dxa"/>
          </w:tcPr>
          <w:p w14:paraId="3DEC95DA" w14:textId="30853EF7" w:rsidR="000314B3" w:rsidRPr="00766DB3" w:rsidRDefault="000314B3" w:rsidP="00554462">
            <w:pPr>
              <w:pStyle w:val="BodyText"/>
              <w:spacing w:line="240" w:lineRule="auto"/>
              <w:jc w:val="center"/>
              <w:rPr>
                <w:sz w:val="22"/>
                <w:szCs w:val="22"/>
              </w:rPr>
            </w:pPr>
            <w:r w:rsidRPr="00766DB3">
              <w:rPr>
                <w:sz w:val="22"/>
                <w:szCs w:val="22"/>
              </w:rPr>
              <w:t xml:space="preserve">Beta </w:t>
            </w:r>
            <w:r w:rsidR="00DA209A" w:rsidRPr="00766DB3">
              <w:rPr>
                <w:sz w:val="22"/>
                <w:szCs w:val="22"/>
              </w:rPr>
              <w:t>G</w:t>
            </w:r>
            <w:r w:rsidRPr="00766DB3">
              <w:rPr>
                <w:sz w:val="22"/>
                <w:szCs w:val="22"/>
              </w:rPr>
              <w:t>lucan</w:t>
            </w:r>
          </w:p>
          <w:p w14:paraId="383DA6C9" w14:textId="77777777" w:rsidR="000314B3" w:rsidRPr="00766DB3" w:rsidRDefault="000314B3" w:rsidP="00554462">
            <w:pPr>
              <w:pStyle w:val="BodyText"/>
              <w:spacing w:line="240" w:lineRule="auto"/>
              <w:jc w:val="center"/>
              <w:rPr>
                <w:sz w:val="22"/>
                <w:szCs w:val="22"/>
              </w:rPr>
            </w:pPr>
            <w:r w:rsidRPr="00766DB3">
              <w:rPr>
                <w:sz w:val="22"/>
                <w:szCs w:val="22"/>
              </w:rPr>
              <w:t>(ppm)</w:t>
            </w:r>
          </w:p>
        </w:tc>
        <w:tc>
          <w:tcPr>
            <w:tcW w:w="810" w:type="dxa"/>
          </w:tcPr>
          <w:p w14:paraId="303437A6" w14:textId="77777777" w:rsidR="000314B3" w:rsidRPr="00766DB3" w:rsidRDefault="000314B3" w:rsidP="00554462">
            <w:pPr>
              <w:pStyle w:val="BodyText"/>
              <w:spacing w:line="240" w:lineRule="auto"/>
              <w:jc w:val="center"/>
              <w:rPr>
                <w:sz w:val="22"/>
                <w:szCs w:val="22"/>
              </w:rPr>
            </w:pPr>
            <w:r w:rsidRPr="00766DB3">
              <w:rPr>
                <w:sz w:val="22"/>
                <w:szCs w:val="22"/>
              </w:rPr>
              <w:t>FAN</w:t>
            </w:r>
          </w:p>
          <w:p w14:paraId="5E47B1D8" w14:textId="77777777" w:rsidR="000314B3" w:rsidRPr="00766DB3" w:rsidRDefault="000314B3" w:rsidP="00554462">
            <w:pPr>
              <w:pStyle w:val="BodyText"/>
              <w:spacing w:line="240" w:lineRule="auto"/>
              <w:jc w:val="center"/>
              <w:rPr>
                <w:sz w:val="22"/>
                <w:szCs w:val="22"/>
              </w:rPr>
            </w:pPr>
            <w:r w:rsidRPr="00766DB3">
              <w:rPr>
                <w:sz w:val="22"/>
                <w:szCs w:val="22"/>
              </w:rPr>
              <w:t>(ppm)</w:t>
            </w:r>
          </w:p>
        </w:tc>
      </w:tr>
      <w:tr w:rsidR="000314B3" w14:paraId="5674A507" w14:textId="77777777" w:rsidTr="00766DB3">
        <w:tc>
          <w:tcPr>
            <w:tcW w:w="1345" w:type="dxa"/>
            <w:vAlign w:val="center"/>
          </w:tcPr>
          <w:p w14:paraId="385EE4BC" w14:textId="77777777" w:rsidR="000314B3" w:rsidRPr="00766DB3" w:rsidRDefault="000314B3" w:rsidP="00766DB3">
            <w:pPr>
              <w:rPr>
                <w:i/>
                <w:sz w:val="24"/>
              </w:rPr>
            </w:pPr>
            <w:r w:rsidRPr="00766DB3">
              <w:rPr>
                <w:i/>
                <w:sz w:val="24"/>
              </w:rPr>
              <w:t>Station yrs.</w:t>
            </w:r>
          </w:p>
        </w:tc>
        <w:tc>
          <w:tcPr>
            <w:tcW w:w="990" w:type="dxa"/>
            <w:vAlign w:val="center"/>
          </w:tcPr>
          <w:p w14:paraId="2B79E47A" w14:textId="77777777" w:rsidR="000314B3" w:rsidRPr="00766DB3" w:rsidRDefault="000314B3" w:rsidP="00554462">
            <w:pPr>
              <w:jc w:val="center"/>
              <w:rPr>
                <w:i/>
                <w:sz w:val="24"/>
              </w:rPr>
            </w:pPr>
            <w:r w:rsidRPr="00766DB3">
              <w:rPr>
                <w:i/>
                <w:sz w:val="24"/>
              </w:rPr>
              <w:t>9</w:t>
            </w:r>
          </w:p>
        </w:tc>
        <w:tc>
          <w:tcPr>
            <w:tcW w:w="900" w:type="dxa"/>
            <w:vAlign w:val="center"/>
          </w:tcPr>
          <w:p w14:paraId="7E3EF089" w14:textId="77777777" w:rsidR="000314B3" w:rsidRPr="00766DB3" w:rsidRDefault="000314B3" w:rsidP="00554462">
            <w:pPr>
              <w:jc w:val="center"/>
              <w:rPr>
                <w:i/>
                <w:sz w:val="24"/>
              </w:rPr>
            </w:pPr>
            <w:r w:rsidRPr="00766DB3">
              <w:rPr>
                <w:i/>
                <w:sz w:val="24"/>
              </w:rPr>
              <w:t>9</w:t>
            </w:r>
          </w:p>
        </w:tc>
        <w:tc>
          <w:tcPr>
            <w:tcW w:w="900" w:type="dxa"/>
            <w:vAlign w:val="center"/>
          </w:tcPr>
          <w:p w14:paraId="4F9EBE44" w14:textId="77777777" w:rsidR="000314B3" w:rsidRPr="00766DB3" w:rsidRDefault="000314B3" w:rsidP="00554462">
            <w:pPr>
              <w:jc w:val="center"/>
              <w:rPr>
                <w:i/>
                <w:sz w:val="24"/>
              </w:rPr>
            </w:pPr>
            <w:r w:rsidRPr="00766DB3">
              <w:rPr>
                <w:i/>
                <w:sz w:val="24"/>
              </w:rPr>
              <w:t>9</w:t>
            </w:r>
          </w:p>
        </w:tc>
        <w:tc>
          <w:tcPr>
            <w:tcW w:w="900" w:type="dxa"/>
            <w:vAlign w:val="center"/>
          </w:tcPr>
          <w:p w14:paraId="17F61258" w14:textId="77777777" w:rsidR="000314B3" w:rsidRPr="00766DB3" w:rsidRDefault="000314B3" w:rsidP="00554462">
            <w:pPr>
              <w:jc w:val="center"/>
              <w:rPr>
                <w:i/>
                <w:sz w:val="24"/>
              </w:rPr>
            </w:pPr>
            <w:r w:rsidRPr="00766DB3">
              <w:rPr>
                <w:i/>
                <w:sz w:val="24"/>
              </w:rPr>
              <w:t>9</w:t>
            </w:r>
          </w:p>
        </w:tc>
        <w:tc>
          <w:tcPr>
            <w:tcW w:w="720" w:type="dxa"/>
            <w:vAlign w:val="center"/>
          </w:tcPr>
          <w:p w14:paraId="562A7310" w14:textId="77777777" w:rsidR="000314B3" w:rsidRPr="00766DB3" w:rsidRDefault="000314B3" w:rsidP="00554462">
            <w:pPr>
              <w:jc w:val="center"/>
              <w:rPr>
                <w:i/>
                <w:sz w:val="24"/>
              </w:rPr>
            </w:pPr>
            <w:r w:rsidRPr="00766DB3">
              <w:rPr>
                <w:i/>
                <w:sz w:val="24"/>
              </w:rPr>
              <w:t>9</w:t>
            </w:r>
          </w:p>
        </w:tc>
        <w:tc>
          <w:tcPr>
            <w:tcW w:w="1080" w:type="dxa"/>
            <w:vAlign w:val="center"/>
          </w:tcPr>
          <w:p w14:paraId="358D1663" w14:textId="77777777" w:rsidR="000314B3" w:rsidRPr="00766DB3" w:rsidRDefault="000314B3" w:rsidP="00554462">
            <w:pPr>
              <w:jc w:val="center"/>
              <w:rPr>
                <w:i/>
                <w:sz w:val="24"/>
              </w:rPr>
            </w:pPr>
            <w:r w:rsidRPr="00766DB3">
              <w:rPr>
                <w:i/>
                <w:sz w:val="24"/>
              </w:rPr>
              <w:t>9</w:t>
            </w:r>
          </w:p>
        </w:tc>
        <w:tc>
          <w:tcPr>
            <w:tcW w:w="1080" w:type="dxa"/>
            <w:vAlign w:val="center"/>
          </w:tcPr>
          <w:p w14:paraId="00A0AB30" w14:textId="77777777" w:rsidR="000314B3" w:rsidRPr="00766DB3" w:rsidRDefault="000314B3" w:rsidP="00554462">
            <w:pPr>
              <w:jc w:val="center"/>
              <w:rPr>
                <w:i/>
                <w:sz w:val="24"/>
              </w:rPr>
            </w:pPr>
            <w:r w:rsidRPr="00766DB3">
              <w:rPr>
                <w:i/>
                <w:sz w:val="24"/>
              </w:rPr>
              <w:t>9</w:t>
            </w:r>
          </w:p>
        </w:tc>
        <w:tc>
          <w:tcPr>
            <w:tcW w:w="900" w:type="dxa"/>
            <w:vAlign w:val="center"/>
          </w:tcPr>
          <w:p w14:paraId="2ED3EE09" w14:textId="77777777" w:rsidR="000314B3" w:rsidRPr="00766DB3" w:rsidRDefault="000314B3" w:rsidP="00554462">
            <w:pPr>
              <w:jc w:val="center"/>
              <w:rPr>
                <w:i/>
                <w:sz w:val="24"/>
              </w:rPr>
            </w:pPr>
            <w:r w:rsidRPr="00766DB3">
              <w:rPr>
                <w:i/>
                <w:sz w:val="24"/>
              </w:rPr>
              <w:t>9</w:t>
            </w:r>
          </w:p>
        </w:tc>
        <w:tc>
          <w:tcPr>
            <w:tcW w:w="810" w:type="dxa"/>
          </w:tcPr>
          <w:p w14:paraId="135F9F72" w14:textId="77777777" w:rsidR="000314B3" w:rsidRPr="00766DB3" w:rsidRDefault="000314B3" w:rsidP="00554462">
            <w:pPr>
              <w:pStyle w:val="BodyText"/>
              <w:spacing w:line="240" w:lineRule="auto"/>
              <w:jc w:val="center"/>
              <w:rPr>
                <w:i/>
                <w:sz w:val="24"/>
                <w:szCs w:val="24"/>
              </w:rPr>
            </w:pPr>
            <w:r w:rsidRPr="00766DB3">
              <w:rPr>
                <w:i/>
                <w:sz w:val="24"/>
                <w:szCs w:val="24"/>
              </w:rPr>
              <w:t>9</w:t>
            </w:r>
          </w:p>
        </w:tc>
      </w:tr>
      <w:tr w:rsidR="000314B3" w14:paraId="1E3D1337" w14:textId="77777777" w:rsidTr="00766DB3">
        <w:tc>
          <w:tcPr>
            <w:tcW w:w="1345" w:type="dxa"/>
            <w:vAlign w:val="center"/>
          </w:tcPr>
          <w:p w14:paraId="53EBE01C" w14:textId="77777777" w:rsidR="000314B3" w:rsidRPr="00766DB3" w:rsidRDefault="000314B3" w:rsidP="00766DB3">
            <w:pPr>
              <w:rPr>
                <w:sz w:val="24"/>
              </w:rPr>
            </w:pPr>
            <w:r w:rsidRPr="00766DB3">
              <w:rPr>
                <w:sz w:val="24"/>
              </w:rPr>
              <w:t>DH130910</w:t>
            </w:r>
          </w:p>
        </w:tc>
        <w:tc>
          <w:tcPr>
            <w:tcW w:w="990" w:type="dxa"/>
          </w:tcPr>
          <w:p w14:paraId="1B017D2C" w14:textId="77777777" w:rsidR="000314B3" w:rsidRPr="00766DB3" w:rsidRDefault="000314B3" w:rsidP="00554462">
            <w:pPr>
              <w:jc w:val="center"/>
              <w:rPr>
                <w:sz w:val="24"/>
              </w:rPr>
            </w:pPr>
            <w:r w:rsidRPr="00DA209A">
              <w:t>98.2</w:t>
            </w:r>
          </w:p>
        </w:tc>
        <w:tc>
          <w:tcPr>
            <w:tcW w:w="900" w:type="dxa"/>
          </w:tcPr>
          <w:p w14:paraId="232BC326" w14:textId="77777777" w:rsidR="000314B3" w:rsidRPr="00766DB3" w:rsidRDefault="000314B3" w:rsidP="00554462">
            <w:pPr>
              <w:jc w:val="center"/>
              <w:rPr>
                <w:sz w:val="24"/>
              </w:rPr>
            </w:pPr>
            <w:r w:rsidRPr="00DA209A">
              <w:t>81.5</w:t>
            </w:r>
          </w:p>
        </w:tc>
        <w:tc>
          <w:tcPr>
            <w:tcW w:w="900" w:type="dxa"/>
          </w:tcPr>
          <w:p w14:paraId="60EA4B31" w14:textId="77777777" w:rsidR="000314B3" w:rsidRPr="00766DB3" w:rsidRDefault="000314B3" w:rsidP="00554462">
            <w:pPr>
              <w:jc w:val="center"/>
              <w:rPr>
                <w:sz w:val="24"/>
              </w:rPr>
            </w:pPr>
            <w:r w:rsidRPr="00DA209A">
              <w:t>11.1</w:t>
            </w:r>
          </w:p>
        </w:tc>
        <w:tc>
          <w:tcPr>
            <w:tcW w:w="900" w:type="dxa"/>
          </w:tcPr>
          <w:p w14:paraId="17536E18" w14:textId="77777777" w:rsidR="000314B3" w:rsidRPr="00766DB3" w:rsidRDefault="000314B3" w:rsidP="00554462">
            <w:pPr>
              <w:jc w:val="center"/>
              <w:rPr>
                <w:sz w:val="24"/>
              </w:rPr>
            </w:pPr>
            <w:r w:rsidRPr="00DA209A">
              <w:t>4.60</w:t>
            </w:r>
          </w:p>
        </w:tc>
        <w:tc>
          <w:tcPr>
            <w:tcW w:w="720" w:type="dxa"/>
          </w:tcPr>
          <w:p w14:paraId="76B359A5" w14:textId="77777777" w:rsidR="000314B3" w:rsidRPr="00766DB3" w:rsidRDefault="000314B3" w:rsidP="00554462">
            <w:pPr>
              <w:jc w:val="center"/>
              <w:rPr>
                <w:sz w:val="24"/>
              </w:rPr>
            </w:pPr>
            <w:r w:rsidRPr="00DA209A">
              <w:t>44.1</w:t>
            </w:r>
          </w:p>
        </w:tc>
        <w:tc>
          <w:tcPr>
            <w:tcW w:w="1080" w:type="dxa"/>
          </w:tcPr>
          <w:p w14:paraId="5983015B" w14:textId="77777777" w:rsidR="000314B3" w:rsidRPr="00766DB3" w:rsidRDefault="000314B3" w:rsidP="00554462">
            <w:pPr>
              <w:jc w:val="center"/>
              <w:rPr>
                <w:sz w:val="24"/>
              </w:rPr>
            </w:pPr>
            <w:r w:rsidRPr="00DA209A">
              <w:t>163</w:t>
            </w:r>
          </w:p>
        </w:tc>
        <w:tc>
          <w:tcPr>
            <w:tcW w:w="1080" w:type="dxa"/>
          </w:tcPr>
          <w:p w14:paraId="11D7E7FD" w14:textId="77777777" w:rsidR="000314B3" w:rsidRPr="00766DB3" w:rsidRDefault="000314B3" w:rsidP="00554462">
            <w:pPr>
              <w:jc w:val="center"/>
              <w:rPr>
                <w:sz w:val="24"/>
              </w:rPr>
            </w:pPr>
            <w:r w:rsidRPr="00DA209A">
              <w:t>41.4</w:t>
            </w:r>
          </w:p>
        </w:tc>
        <w:tc>
          <w:tcPr>
            <w:tcW w:w="900" w:type="dxa"/>
          </w:tcPr>
          <w:p w14:paraId="22EB85EA" w14:textId="77777777" w:rsidR="000314B3" w:rsidRPr="00766DB3" w:rsidRDefault="000314B3" w:rsidP="00554462">
            <w:pPr>
              <w:jc w:val="center"/>
              <w:rPr>
                <w:sz w:val="24"/>
              </w:rPr>
            </w:pPr>
            <w:r w:rsidRPr="00DA209A">
              <w:t>67</w:t>
            </w:r>
          </w:p>
        </w:tc>
        <w:tc>
          <w:tcPr>
            <w:tcW w:w="810" w:type="dxa"/>
          </w:tcPr>
          <w:p w14:paraId="407D33E8" w14:textId="77777777" w:rsidR="000314B3" w:rsidRPr="00766DB3" w:rsidRDefault="000314B3" w:rsidP="00554462">
            <w:pPr>
              <w:pStyle w:val="BodyText"/>
              <w:spacing w:line="240" w:lineRule="auto"/>
              <w:jc w:val="center"/>
              <w:rPr>
                <w:sz w:val="24"/>
                <w:szCs w:val="24"/>
              </w:rPr>
            </w:pPr>
            <w:r w:rsidRPr="00DA209A">
              <w:t>188</w:t>
            </w:r>
          </w:p>
        </w:tc>
      </w:tr>
      <w:tr w:rsidR="000314B3" w14:paraId="0C76C2E1" w14:textId="77777777" w:rsidTr="00766DB3">
        <w:tc>
          <w:tcPr>
            <w:tcW w:w="1345" w:type="dxa"/>
            <w:vAlign w:val="center"/>
          </w:tcPr>
          <w:p w14:paraId="2816E6D8" w14:textId="77777777" w:rsidR="000314B3" w:rsidRPr="00766DB3" w:rsidRDefault="000314B3" w:rsidP="00766DB3">
            <w:pPr>
              <w:rPr>
                <w:sz w:val="24"/>
              </w:rPr>
            </w:pPr>
            <w:r w:rsidRPr="00766DB3">
              <w:rPr>
                <w:sz w:val="24"/>
              </w:rPr>
              <w:t>Endeavor</w:t>
            </w:r>
          </w:p>
        </w:tc>
        <w:tc>
          <w:tcPr>
            <w:tcW w:w="990" w:type="dxa"/>
          </w:tcPr>
          <w:p w14:paraId="11A2B959" w14:textId="77777777" w:rsidR="000314B3" w:rsidRPr="00766DB3" w:rsidRDefault="000314B3" w:rsidP="00554462">
            <w:pPr>
              <w:jc w:val="center"/>
              <w:rPr>
                <w:sz w:val="24"/>
              </w:rPr>
            </w:pPr>
            <w:r w:rsidRPr="00DA209A">
              <w:t>79.5</w:t>
            </w:r>
          </w:p>
        </w:tc>
        <w:tc>
          <w:tcPr>
            <w:tcW w:w="900" w:type="dxa"/>
          </w:tcPr>
          <w:p w14:paraId="2AAD4CBF" w14:textId="77777777" w:rsidR="000314B3" w:rsidRPr="00766DB3" w:rsidRDefault="000314B3" w:rsidP="00554462">
            <w:pPr>
              <w:jc w:val="center"/>
              <w:rPr>
                <w:sz w:val="24"/>
              </w:rPr>
            </w:pPr>
            <w:r w:rsidRPr="00DA209A">
              <w:t>81.9</w:t>
            </w:r>
          </w:p>
        </w:tc>
        <w:tc>
          <w:tcPr>
            <w:tcW w:w="900" w:type="dxa"/>
          </w:tcPr>
          <w:p w14:paraId="556604D1" w14:textId="77777777" w:rsidR="000314B3" w:rsidRPr="00766DB3" w:rsidRDefault="000314B3" w:rsidP="00554462">
            <w:pPr>
              <w:jc w:val="center"/>
              <w:rPr>
                <w:sz w:val="24"/>
              </w:rPr>
            </w:pPr>
            <w:r w:rsidRPr="00DA209A">
              <w:t>10.4</w:t>
            </w:r>
          </w:p>
        </w:tc>
        <w:tc>
          <w:tcPr>
            <w:tcW w:w="900" w:type="dxa"/>
          </w:tcPr>
          <w:p w14:paraId="45D3A011" w14:textId="77777777" w:rsidR="000314B3" w:rsidRPr="00766DB3" w:rsidRDefault="000314B3" w:rsidP="00554462">
            <w:pPr>
              <w:jc w:val="center"/>
              <w:rPr>
                <w:sz w:val="24"/>
              </w:rPr>
            </w:pPr>
            <w:r w:rsidRPr="00DA209A">
              <w:t>4.94</w:t>
            </w:r>
          </w:p>
        </w:tc>
        <w:tc>
          <w:tcPr>
            <w:tcW w:w="720" w:type="dxa"/>
          </w:tcPr>
          <w:p w14:paraId="62B0735B" w14:textId="77777777" w:rsidR="000314B3" w:rsidRPr="00766DB3" w:rsidRDefault="000314B3" w:rsidP="00554462">
            <w:pPr>
              <w:jc w:val="center"/>
              <w:rPr>
                <w:sz w:val="24"/>
              </w:rPr>
            </w:pPr>
            <w:r w:rsidRPr="00DA209A">
              <w:t>51.9</w:t>
            </w:r>
          </w:p>
        </w:tc>
        <w:tc>
          <w:tcPr>
            <w:tcW w:w="1080" w:type="dxa"/>
          </w:tcPr>
          <w:p w14:paraId="26465954" w14:textId="77777777" w:rsidR="000314B3" w:rsidRPr="00766DB3" w:rsidRDefault="000314B3" w:rsidP="00554462">
            <w:pPr>
              <w:jc w:val="center"/>
              <w:rPr>
                <w:sz w:val="24"/>
              </w:rPr>
            </w:pPr>
            <w:r w:rsidRPr="00DA209A">
              <w:t>164</w:t>
            </w:r>
          </w:p>
        </w:tc>
        <w:tc>
          <w:tcPr>
            <w:tcW w:w="1080" w:type="dxa"/>
          </w:tcPr>
          <w:p w14:paraId="73DDBB3D" w14:textId="77777777" w:rsidR="000314B3" w:rsidRPr="00766DB3" w:rsidRDefault="000314B3" w:rsidP="00554462">
            <w:pPr>
              <w:jc w:val="center"/>
              <w:rPr>
                <w:sz w:val="24"/>
              </w:rPr>
            </w:pPr>
            <w:r w:rsidRPr="00DA209A">
              <w:t>101.7</w:t>
            </w:r>
          </w:p>
        </w:tc>
        <w:tc>
          <w:tcPr>
            <w:tcW w:w="900" w:type="dxa"/>
          </w:tcPr>
          <w:p w14:paraId="1C64F731" w14:textId="77777777" w:rsidR="000314B3" w:rsidRPr="00766DB3" w:rsidRDefault="000314B3" w:rsidP="00554462">
            <w:pPr>
              <w:jc w:val="center"/>
              <w:rPr>
                <w:sz w:val="24"/>
              </w:rPr>
            </w:pPr>
            <w:r w:rsidRPr="00DA209A">
              <w:t>201</w:t>
            </w:r>
          </w:p>
        </w:tc>
        <w:tc>
          <w:tcPr>
            <w:tcW w:w="810" w:type="dxa"/>
          </w:tcPr>
          <w:p w14:paraId="686BD928" w14:textId="77777777" w:rsidR="000314B3" w:rsidRPr="00766DB3" w:rsidRDefault="000314B3" w:rsidP="00554462">
            <w:pPr>
              <w:pStyle w:val="BodyText"/>
              <w:spacing w:line="240" w:lineRule="auto"/>
              <w:jc w:val="center"/>
              <w:rPr>
                <w:sz w:val="24"/>
                <w:szCs w:val="24"/>
              </w:rPr>
            </w:pPr>
            <w:r w:rsidRPr="00DA209A">
              <w:t>232</w:t>
            </w:r>
          </w:p>
        </w:tc>
      </w:tr>
      <w:tr w:rsidR="000314B3" w14:paraId="3320C902" w14:textId="77777777" w:rsidTr="00766DB3">
        <w:tc>
          <w:tcPr>
            <w:tcW w:w="1345" w:type="dxa"/>
            <w:vAlign w:val="center"/>
          </w:tcPr>
          <w:p w14:paraId="431EE211" w14:textId="77777777" w:rsidR="000314B3" w:rsidRPr="00766DB3" w:rsidRDefault="000314B3" w:rsidP="00766DB3">
            <w:pPr>
              <w:rPr>
                <w:sz w:val="24"/>
              </w:rPr>
            </w:pPr>
            <w:r w:rsidRPr="00766DB3">
              <w:rPr>
                <w:sz w:val="24"/>
              </w:rPr>
              <w:t>Wintmalt</w:t>
            </w:r>
          </w:p>
        </w:tc>
        <w:tc>
          <w:tcPr>
            <w:tcW w:w="990" w:type="dxa"/>
          </w:tcPr>
          <w:p w14:paraId="12D38616" w14:textId="77777777" w:rsidR="000314B3" w:rsidRPr="00766DB3" w:rsidRDefault="000314B3" w:rsidP="00554462">
            <w:pPr>
              <w:jc w:val="center"/>
              <w:rPr>
                <w:sz w:val="24"/>
              </w:rPr>
            </w:pPr>
            <w:r w:rsidRPr="00DA209A">
              <w:t>96.1</w:t>
            </w:r>
          </w:p>
        </w:tc>
        <w:tc>
          <w:tcPr>
            <w:tcW w:w="900" w:type="dxa"/>
          </w:tcPr>
          <w:p w14:paraId="57CBC0A6" w14:textId="77777777" w:rsidR="000314B3" w:rsidRPr="00766DB3" w:rsidRDefault="000314B3" w:rsidP="00554462">
            <w:pPr>
              <w:jc w:val="center"/>
              <w:rPr>
                <w:sz w:val="24"/>
              </w:rPr>
            </w:pPr>
            <w:r w:rsidRPr="00DA209A">
              <w:t>81.4</w:t>
            </w:r>
          </w:p>
        </w:tc>
        <w:tc>
          <w:tcPr>
            <w:tcW w:w="900" w:type="dxa"/>
          </w:tcPr>
          <w:p w14:paraId="3EAA8529" w14:textId="77777777" w:rsidR="000314B3" w:rsidRPr="00766DB3" w:rsidRDefault="000314B3" w:rsidP="00554462">
            <w:pPr>
              <w:jc w:val="center"/>
              <w:rPr>
                <w:sz w:val="24"/>
              </w:rPr>
            </w:pPr>
            <w:r w:rsidRPr="00DA209A">
              <w:t>10.2</w:t>
            </w:r>
          </w:p>
        </w:tc>
        <w:tc>
          <w:tcPr>
            <w:tcW w:w="900" w:type="dxa"/>
          </w:tcPr>
          <w:p w14:paraId="2EC33C1B" w14:textId="77777777" w:rsidR="000314B3" w:rsidRPr="00766DB3" w:rsidRDefault="000314B3" w:rsidP="00554462">
            <w:pPr>
              <w:jc w:val="center"/>
              <w:rPr>
                <w:sz w:val="24"/>
              </w:rPr>
            </w:pPr>
            <w:r w:rsidRPr="00DA209A">
              <w:t>4.10</w:t>
            </w:r>
          </w:p>
        </w:tc>
        <w:tc>
          <w:tcPr>
            <w:tcW w:w="720" w:type="dxa"/>
          </w:tcPr>
          <w:p w14:paraId="12E592DB" w14:textId="77777777" w:rsidR="000314B3" w:rsidRPr="00766DB3" w:rsidRDefault="000314B3" w:rsidP="00554462">
            <w:pPr>
              <w:jc w:val="center"/>
              <w:rPr>
                <w:sz w:val="24"/>
              </w:rPr>
            </w:pPr>
            <w:r w:rsidRPr="00DA209A">
              <w:t>43.5</w:t>
            </w:r>
          </w:p>
        </w:tc>
        <w:tc>
          <w:tcPr>
            <w:tcW w:w="1080" w:type="dxa"/>
          </w:tcPr>
          <w:p w14:paraId="0C3F9422" w14:textId="77777777" w:rsidR="000314B3" w:rsidRPr="00766DB3" w:rsidRDefault="000314B3" w:rsidP="00554462">
            <w:pPr>
              <w:jc w:val="center"/>
              <w:rPr>
                <w:sz w:val="24"/>
              </w:rPr>
            </w:pPr>
            <w:r w:rsidRPr="00DA209A">
              <w:t>140</w:t>
            </w:r>
          </w:p>
        </w:tc>
        <w:tc>
          <w:tcPr>
            <w:tcW w:w="1080" w:type="dxa"/>
          </w:tcPr>
          <w:p w14:paraId="7E229525" w14:textId="77777777" w:rsidR="000314B3" w:rsidRPr="00766DB3" w:rsidRDefault="000314B3" w:rsidP="00554462">
            <w:pPr>
              <w:jc w:val="center"/>
              <w:rPr>
                <w:sz w:val="24"/>
              </w:rPr>
            </w:pPr>
            <w:r w:rsidRPr="00DA209A">
              <w:t>55.8</w:t>
            </w:r>
          </w:p>
        </w:tc>
        <w:tc>
          <w:tcPr>
            <w:tcW w:w="900" w:type="dxa"/>
          </w:tcPr>
          <w:p w14:paraId="0FC0A082" w14:textId="77777777" w:rsidR="000314B3" w:rsidRPr="00766DB3" w:rsidRDefault="000314B3" w:rsidP="00554462">
            <w:pPr>
              <w:jc w:val="center"/>
              <w:rPr>
                <w:sz w:val="24"/>
              </w:rPr>
            </w:pPr>
            <w:r w:rsidRPr="00DA209A">
              <w:t>64</w:t>
            </w:r>
          </w:p>
        </w:tc>
        <w:tc>
          <w:tcPr>
            <w:tcW w:w="810" w:type="dxa"/>
          </w:tcPr>
          <w:p w14:paraId="6BDA5CA3" w14:textId="77777777" w:rsidR="000314B3" w:rsidRPr="00766DB3" w:rsidRDefault="000314B3" w:rsidP="00554462">
            <w:pPr>
              <w:pStyle w:val="BodyText"/>
              <w:spacing w:line="240" w:lineRule="auto"/>
              <w:jc w:val="center"/>
              <w:rPr>
                <w:sz w:val="24"/>
                <w:szCs w:val="24"/>
              </w:rPr>
            </w:pPr>
            <w:r w:rsidRPr="00DA209A">
              <w:t>169</w:t>
            </w:r>
          </w:p>
        </w:tc>
      </w:tr>
    </w:tbl>
    <w:p w14:paraId="0BCC2BDE" w14:textId="77777777" w:rsidR="000314B3" w:rsidRDefault="000314B3" w:rsidP="000314B3">
      <w:pPr>
        <w:pStyle w:val="BodyText"/>
        <w:spacing w:line="240" w:lineRule="auto"/>
        <w:rPr>
          <w:sz w:val="22"/>
          <w:szCs w:val="22"/>
        </w:rPr>
      </w:pPr>
    </w:p>
    <w:p w14:paraId="4FF2F8DB" w14:textId="02CD667F" w:rsidR="00E84301" w:rsidRDefault="000314B3" w:rsidP="000314B3">
      <w:pPr>
        <w:pStyle w:val="BodyText"/>
        <w:spacing w:line="240" w:lineRule="auto"/>
        <w:rPr>
          <w:sz w:val="20"/>
        </w:rPr>
      </w:pPr>
      <w:r w:rsidRPr="006003F6">
        <w:rPr>
          <w:sz w:val="20"/>
          <w:vertAlign w:val="superscript"/>
        </w:rPr>
        <w:t>1</w:t>
      </w:r>
      <w:r w:rsidRPr="006003F6">
        <w:rPr>
          <w:sz w:val="20"/>
        </w:rPr>
        <w:t>Data courtesy of the USDA-ARS Cereal Crops Research Unit, Madison, WI.</w:t>
      </w:r>
    </w:p>
    <w:p w14:paraId="21C94AA0" w14:textId="77777777" w:rsidR="00E84301" w:rsidRPr="00766DB3" w:rsidRDefault="00E84301" w:rsidP="000314B3">
      <w:pPr>
        <w:pStyle w:val="BodyText"/>
        <w:spacing w:line="240" w:lineRule="auto"/>
      </w:pPr>
    </w:p>
    <w:p w14:paraId="604BC030" w14:textId="4F5926AF" w:rsidR="000314B3" w:rsidRDefault="000314B3" w:rsidP="00766DB3">
      <w:pPr>
        <w:pStyle w:val="BodyText"/>
        <w:spacing w:line="240" w:lineRule="auto"/>
      </w:pPr>
    </w:p>
    <w:p w14:paraId="2A2DD607" w14:textId="1CE1C4AB" w:rsidR="004371FD" w:rsidRDefault="00381918" w:rsidP="00766DB3">
      <w:pPr>
        <w:spacing w:after="240"/>
      </w:pPr>
      <w:r w:rsidRPr="00766DB3">
        <w:rPr>
          <w:b/>
          <w:bCs/>
        </w:rPr>
        <w:t xml:space="preserve">Table </w:t>
      </w:r>
      <w:r w:rsidR="00C20C5E" w:rsidRPr="00766DB3">
        <w:rPr>
          <w:b/>
          <w:bCs/>
        </w:rPr>
        <w:t>7</w:t>
      </w:r>
      <w:r w:rsidRPr="00766DB3">
        <w:rPr>
          <w:b/>
          <w:bCs/>
        </w:rPr>
        <w:t>.</w:t>
      </w:r>
      <w:r>
        <w:t xml:space="preserve"> </w:t>
      </w:r>
      <w:r w:rsidR="004371FD" w:rsidRPr="009B3465">
        <w:t>Malt quality</w:t>
      </w:r>
      <w:r w:rsidR="004371FD" w:rsidRPr="009B3465">
        <w:rPr>
          <w:vertAlign w:val="superscript"/>
        </w:rPr>
        <w:t>1</w:t>
      </w:r>
      <w:r w:rsidR="004371FD" w:rsidRPr="009B3465">
        <w:t xml:space="preserve"> of DH130910 and check cultivars using data from analyses of barley samples grown </w:t>
      </w:r>
      <w:r w:rsidR="004371FD">
        <w:t>in Ithaca, NY</w:t>
      </w:r>
      <w:r w:rsidR="004371FD" w:rsidRPr="009B3465">
        <w:t xml:space="preserve"> (201</w:t>
      </w:r>
      <w:r w:rsidR="004371FD">
        <w:t>7</w:t>
      </w:r>
      <w:r w:rsidR="004371FD" w:rsidRPr="009B3465">
        <w:t>-201</w:t>
      </w:r>
      <w:r w:rsidR="004371FD">
        <w:t>9</w:t>
      </w:r>
      <w:r w:rsidR="004371FD" w:rsidRPr="009B3465">
        <w:t>).</w:t>
      </w:r>
    </w:p>
    <w:tbl>
      <w:tblPr>
        <w:tblW w:w="8900" w:type="dxa"/>
        <w:tblLayout w:type="fixed"/>
        <w:tblLook w:val="04A0" w:firstRow="1" w:lastRow="0" w:firstColumn="1" w:lastColumn="0" w:noHBand="0" w:noVBand="1"/>
      </w:tblPr>
      <w:tblGrid>
        <w:gridCol w:w="1351"/>
        <w:gridCol w:w="889"/>
        <w:gridCol w:w="990"/>
        <w:gridCol w:w="900"/>
        <w:gridCol w:w="990"/>
        <w:gridCol w:w="1080"/>
        <w:gridCol w:w="900"/>
        <w:gridCol w:w="810"/>
        <w:gridCol w:w="990"/>
      </w:tblGrid>
      <w:tr w:rsidR="001754E2" w14:paraId="14BFD9B3" w14:textId="77777777" w:rsidTr="008B63A2">
        <w:trPr>
          <w:trHeight w:val="20"/>
        </w:trPr>
        <w:tc>
          <w:tcPr>
            <w:tcW w:w="1351" w:type="dxa"/>
            <w:tcBorders>
              <w:top w:val="single" w:sz="8" w:space="0" w:color="auto"/>
              <w:left w:val="single" w:sz="8" w:space="0" w:color="auto"/>
              <w:bottom w:val="single" w:sz="8" w:space="0" w:color="000000"/>
              <w:right w:val="single" w:sz="8" w:space="0" w:color="auto"/>
            </w:tcBorders>
            <w:shd w:val="clear" w:color="auto" w:fill="auto"/>
            <w:hideMark/>
          </w:tcPr>
          <w:p w14:paraId="7B448712" w14:textId="77777777" w:rsidR="00DA209A" w:rsidRDefault="00DA209A" w:rsidP="00766DB3">
            <w:pPr>
              <w:rPr>
                <w:color w:val="000000"/>
                <w:sz w:val="22"/>
                <w:szCs w:val="22"/>
              </w:rPr>
            </w:pPr>
            <w:r>
              <w:rPr>
                <w:color w:val="000000"/>
                <w:sz w:val="22"/>
              </w:rPr>
              <w:t>Entry</w:t>
            </w:r>
          </w:p>
        </w:tc>
        <w:tc>
          <w:tcPr>
            <w:tcW w:w="889" w:type="dxa"/>
            <w:tcBorders>
              <w:top w:val="single" w:sz="8" w:space="0" w:color="auto"/>
              <w:left w:val="single" w:sz="8" w:space="0" w:color="auto"/>
              <w:bottom w:val="single" w:sz="8" w:space="0" w:color="000000"/>
              <w:right w:val="single" w:sz="8" w:space="0" w:color="auto"/>
            </w:tcBorders>
            <w:shd w:val="clear" w:color="auto" w:fill="auto"/>
            <w:hideMark/>
          </w:tcPr>
          <w:p w14:paraId="0EFEC53D" w14:textId="77777777" w:rsidR="00DA209A" w:rsidRPr="00766DB3" w:rsidRDefault="00DA209A" w:rsidP="00766DB3">
            <w:pPr>
              <w:pStyle w:val="BodyText"/>
              <w:widowControl w:val="0"/>
              <w:spacing w:line="240" w:lineRule="auto"/>
              <w:jc w:val="center"/>
              <w:rPr>
                <w:sz w:val="22"/>
                <w:szCs w:val="22"/>
              </w:rPr>
            </w:pPr>
            <w:r w:rsidRPr="00766DB3">
              <w:rPr>
                <w:sz w:val="22"/>
                <w:szCs w:val="22"/>
              </w:rPr>
              <w:t>Kernel Weight (g)</w:t>
            </w:r>
          </w:p>
        </w:tc>
        <w:tc>
          <w:tcPr>
            <w:tcW w:w="990" w:type="dxa"/>
            <w:tcBorders>
              <w:top w:val="single" w:sz="8" w:space="0" w:color="auto"/>
              <w:left w:val="single" w:sz="8" w:space="0" w:color="auto"/>
              <w:bottom w:val="single" w:sz="8" w:space="0" w:color="000000"/>
              <w:right w:val="single" w:sz="8" w:space="0" w:color="auto"/>
            </w:tcBorders>
            <w:shd w:val="clear" w:color="auto" w:fill="auto"/>
            <w:hideMark/>
          </w:tcPr>
          <w:p w14:paraId="5EE166D6" w14:textId="77777777" w:rsidR="00DA209A" w:rsidRDefault="00DA209A" w:rsidP="00DA209A">
            <w:pPr>
              <w:jc w:val="center"/>
              <w:rPr>
                <w:color w:val="000000"/>
                <w:sz w:val="22"/>
                <w:szCs w:val="22"/>
              </w:rPr>
            </w:pPr>
            <w:r>
              <w:rPr>
                <w:color w:val="000000"/>
                <w:sz w:val="22"/>
              </w:rPr>
              <w:t>Plump Kernels (%)</w:t>
            </w:r>
          </w:p>
        </w:tc>
        <w:tc>
          <w:tcPr>
            <w:tcW w:w="900" w:type="dxa"/>
            <w:tcBorders>
              <w:top w:val="single" w:sz="8" w:space="0" w:color="auto"/>
              <w:left w:val="single" w:sz="8" w:space="0" w:color="auto"/>
              <w:bottom w:val="single" w:sz="8" w:space="0" w:color="000000"/>
              <w:right w:val="single" w:sz="8" w:space="0" w:color="auto"/>
            </w:tcBorders>
            <w:shd w:val="clear" w:color="auto" w:fill="auto"/>
            <w:hideMark/>
          </w:tcPr>
          <w:p w14:paraId="083309FF" w14:textId="77777777" w:rsidR="00DA209A" w:rsidRDefault="00DA209A" w:rsidP="00DA209A">
            <w:pPr>
              <w:jc w:val="center"/>
              <w:rPr>
                <w:color w:val="000000"/>
                <w:sz w:val="22"/>
                <w:szCs w:val="22"/>
              </w:rPr>
            </w:pPr>
            <w:r>
              <w:rPr>
                <w:color w:val="000000"/>
                <w:sz w:val="22"/>
              </w:rPr>
              <w:t>Malt Extract (%)</w:t>
            </w:r>
          </w:p>
        </w:tc>
        <w:tc>
          <w:tcPr>
            <w:tcW w:w="990" w:type="dxa"/>
            <w:tcBorders>
              <w:top w:val="single" w:sz="8" w:space="0" w:color="auto"/>
              <w:left w:val="single" w:sz="8" w:space="0" w:color="auto"/>
              <w:bottom w:val="single" w:sz="8" w:space="0" w:color="000000"/>
              <w:right w:val="single" w:sz="8" w:space="0" w:color="auto"/>
            </w:tcBorders>
            <w:shd w:val="clear" w:color="auto" w:fill="auto"/>
            <w:hideMark/>
          </w:tcPr>
          <w:p w14:paraId="29131E7B" w14:textId="1C42A63F" w:rsidR="00DA209A" w:rsidRDefault="00DA209A" w:rsidP="00DA209A">
            <w:pPr>
              <w:jc w:val="center"/>
              <w:rPr>
                <w:color w:val="000000"/>
                <w:sz w:val="22"/>
                <w:szCs w:val="22"/>
              </w:rPr>
            </w:pPr>
            <w:r>
              <w:rPr>
                <w:color w:val="000000"/>
                <w:sz w:val="22"/>
              </w:rPr>
              <w:t>Barley Protein (%)</w:t>
            </w:r>
          </w:p>
        </w:tc>
        <w:tc>
          <w:tcPr>
            <w:tcW w:w="1080" w:type="dxa"/>
            <w:tcBorders>
              <w:top w:val="single" w:sz="8" w:space="0" w:color="auto"/>
              <w:left w:val="nil"/>
              <w:bottom w:val="nil"/>
              <w:right w:val="single" w:sz="8" w:space="0" w:color="auto"/>
            </w:tcBorders>
            <w:shd w:val="clear" w:color="auto" w:fill="auto"/>
            <w:hideMark/>
          </w:tcPr>
          <w:p w14:paraId="7D6843FB" w14:textId="41BB93FD" w:rsidR="00DA209A" w:rsidRDefault="00DA209A" w:rsidP="00DA209A">
            <w:pPr>
              <w:jc w:val="center"/>
              <w:rPr>
                <w:color w:val="000000"/>
                <w:sz w:val="22"/>
              </w:rPr>
            </w:pPr>
            <w:r>
              <w:rPr>
                <w:color w:val="000000"/>
                <w:sz w:val="22"/>
              </w:rPr>
              <w:t>DP</w:t>
            </w:r>
          </w:p>
          <w:p w14:paraId="5D8519EA" w14:textId="43F08C5D" w:rsidR="00DA209A" w:rsidRDefault="00DA209A" w:rsidP="00DA209A">
            <w:pPr>
              <w:jc w:val="center"/>
              <w:rPr>
                <w:color w:val="000000"/>
                <w:sz w:val="22"/>
                <w:szCs w:val="22"/>
              </w:rPr>
            </w:pPr>
            <w:r>
              <w:rPr>
                <w:color w:val="000000"/>
                <w:sz w:val="22"/>
              </w:rPr>
              <w:t>(</w:t>
            </w:r>
            <w:r>
              <w:rPr>
                <w:color w:val="000000"/>
                <w:sz w:val="22"/>
                <w:szCs w:val="22"/>
                <w:vertAlign w:val="superscript"/>
              </w:rPr>
              <w:t>0</w:t>
            </w:r>
            <w:r>
              <w:rPr>
                <w:color w:val="000000"/>
                <w:sz w:val="22"/>
                <w:szCs w:val="22"/>
              </w:rPr>
              <w:t>ASBC)</w:t>
            </w:r>
          </w:p>
        </w:tc>
        <w:tc>
          <w:tcPr>
            <w:tcW w:w="900" w:type="dxa"/>
            <w:tcBorders>
              <w:top w:val="single" w:sz="8" w:space="0" w:color="auto"/>
              <w:left w:val="nil"/>
              <w:bottom w:val="nil"/>
              <w:right w:val="single" w:sz="8" w:space="0" w:color="auto"/>
            </w:tcBorders>
            <w:shd w:val="clear" w:color="auto" w:fill="auto"/>
            <w:hideMark/>
          </w:tcPr>
          <w:p w14:paraId="0D65172E" w14:textId="7E459E94" w:rsidR="00DA209A" w:rsidRDefault="00DA209A" w:rsidP="00DA209A">
            <w:pPr>
              <w:jc w:val="center"/>
              <w:rPr>
                <w:color w:val="000000"/>
                <w:sz w:val="22"/>
              </w:rPr>
            </w:pPr>
            <w:r>
              <w:rPr>
                <w:color w:val="000000"/>
                <w:sz w:val="22"/>
              </w:rPr>
              <w:t>Beta Glucan</w:t>
            </w:r>
          </w:p>
          <w:p w14:paraId="56401FEA" w14:textId="58A2CA92" w:rsidR="001754E2" w:rsidRDefault="001754E2" w:rsidP="00DA209A">
            <w:pPr>
              <w:jc w:val="center"/>
              <w:rPr>
                <w:color w:val="000000"/>
                <w:sz w:val="22"/>
                <w:szCs w:val="22"/>
              </w:rPr>
            </w:pPr>
            <w:r>
              <w:rPr>
                <w:color w:val="000000"/>
                <w:sz w:val="22"/>
              </w:rPr>
              <w:t>(ppm)</w:t>
            </w:r>
          </w:p>
        </w:tc>
        <w:tc>
          <w:tcPr>
            <w:tcW w:w="810" w:type="dxa"/>
            <w:tcBorders>
              <w:top w:val="single" w:sz="8" w:space="0" w:color="auto"/>
              <w:left w:val="nil"/>
              <w:bottom w:val="nil"/>
              <w:right w:val="single" w:sz="8" w:space="0" w:color="auto"/>
            </w:tcBorders>
            <w:shd w:val="clear" w:color="auto" w:fill="auto"/>
            <w:hideMark/>
          </w:tcPr>
          <w:p w14:paraId="1D1CCA14" w14:textId="77777777" w:rsidR="00DA209A" w:rsidRDefault="00DA209A" w:rsidP="00DA209A">
            <w:pPr>
              <w:jc w:val="center"/>
              <w:rPr>
                <w:color w:val="000000"/>
                <w:sz w:val="22"/>
              </w:rPr>
            </w:pPr>
            <w:r>
              <w:rPr>
                <w:color w:val="000000"/>
                <w:sz w:val="22"/>
              </w:rPr>
              <w:t>FAN</w:t>
            </w:r>
          </w:p>
          <w:p w14:paraId="75154226" w14:textId="1CA67A08" w:rsidR="001754E2" w:rsidRDefault="001754E2" w:rsidP="00DA209A">
            <w:pPr>
              <w:jc w:val="center"/>
              <w:rPr>
                <w:color w:val="000000"/>
                <w:sz w:val="22"/>
                <w:szCs w:val="22"/>
              </w:rPr>
            </w:pPr>
            <w:r>
              <w:rPr>
                <w:color w:val="000000"/>
                <w:sz w:val="22"/>
              </w:rPr>
              <w:t>(ppm)</w:t>
            </w:r>
          </w:p>
        </w:tc>
        <w:tc>
          <w:tcPr>
            <w:tcW w:w="990" w:type="dxa"/>
            <w:tcBorders>
              <w:top w:val="single" w:sz="8" w:space="0" w:color="auto"/>
              <w:left w:val="nil"/>
              <w:bottom w:val="nil"/>
              <w:right w:val="single" w:sz="8" w:space="0" w:color="auto"/>
            </w:tcBorders>
            <w:shd w:val="clear" w:color="auto" w:fill="auto"/>
            <w:hideMark/>
          </w:tcPr>
          <w:p w14:paraId="13EB58AF" w14:textId="1A4FD5C7" w:rsidR="00DA209A" w:rsidRDefault="00DA209A" w:rsidP="00DA209A">
            <w:pPr>
              <w:jc w:val="center"/>
              <w:rPr>
                <w:color w:val="000000"/>
                <w:sz w:val="22"/>
              </w:rPr>
            </w:pPr>
            <w:r>
              <w:rPr>
                <w:color w:val="000000"/>
                <w:sz w:val="22"/>
              </w:rPr>
              <w:t>All</w:t>
            </w:r>
            <w:r w:rsidR="002D6FEA">
              <w:rPr>
                <w:color w:val="000000"/>
                <w:sz w:val="22"/>
              </w:rPr>
              <w:t xml:space="preserve"> </w:t>
            </w:r>
            <w:r>
              <w:rPr>
                <w:color w:val="000000"/>
                <w:sz w:val="22"/>
              </w:rPr>
              <w:t xml:space="preserve">Malt Quality </w:t>
            </w:r>
          </w:p>
          <w:p w14:paraId="4B97AC75" w14:textId="77DE37D7" w:rsidR="001754E2" w:rsidRDefault="001754E2" w:rsidP="00DA209A">
            <w:pPr>
              <w:jc w:val="center"/>
              <w:rPr>
                <w:color w:val="000000"/>
                <w:sz w:val="22"/>
                <w:szCs w:val="22"/>
              </w:rPr>
            </w:pPr>
            <w:r>
              <w:rPr>
                <w:color w:val="000000"/>
                <w:sz w:val="22"/>
              </w:rPr>
              <w:t>Score</w:t>
            </w:r>
          </w:p>
        </w:tc>
      </w:tr>
      <w:tr w:rsidR="004E5A49" w14:paraId="0FFC5F44" w14:textId="77777777" w:rsidTr="00766DB3">
        <w:trPr>
          <w:trHeight w:val="20"/>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62C9E" w14:textId="77777777" w:rsidR="004E5A49" w:rsidRPr="00766DB3" w:rsidRDefault="004E5A49" w:rsidP="00766DB3">
            <w:pPr>
              <w:rPr>
                <w:i/>
                <w:iCs/>
                <w:color w:val="000000"/>
              </w:rPr>
            </w:pPr>
            <w:r w:rsidRPr="00766DB3">
              <w:rPr>
                <w:i/>
                <w:iCs/>
                <w:color w:val="000000"/>
              </w:rPr>
              <w:t>Station yrs.</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AA4BB" w14:textId="77777777" w:rsidR="004E5A49" w:rsidRPr="00766DB3" w:rsidRDefault="004E5A49" w:rsidP="004E5A49">
            <w:pPr>
              <w:jc w:val="center"/>
              <w:rPr>
                <w:i/>
                <w:iCs/>
                <w:color w:val="000000"/>
              </w:rPr>
            </w:pPr>
            <w:r w:rsidRPr="00766DB3">
              <w:rPr>
                <w:i/>
                <w:iCs/>
                <w:color w:val="000000"/>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E732D" w14:textId="77777777" w:rsidR="004E5A49" w:rsidRPr="00766DB3" w:rsidRDefault="004E5A49" w:rsidP="004E5A49">
            <w:pPr>
              <w:jc w:val="center"/>
              <w:rPr>
                <w:i/>
                <w:iCs/>
                <w:color w:val="000000"/>
              </w:rPr>
            </w:pPr>
            <w:r w:rsidRPr="00766DB3">
              <w:rPr>
                <w:i/>
                <w:iCs/>
                <w:color w:val="000000"/>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545A4" w14:textId="77777777" w:rsidR="004E5A49" w:rsidRPr="00766DB3" w:rsidRDefault="004E5A49" w:rsidP="004E5A49">
            <w:pPr>
              <w:jc w:val="center"/>
              <w:rPr>
                <w:i/>
                <w:iCs/>
                <w:color w:val="000000"/>
              </w:rPr>
            </w:pPr>
            <w:r w:rsidRPr="00766DB3">
              <w:rPr>
                <w:i/>
                <w:iCs/>
                <w:color w:val="000000"/>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D5236" w14:textId="77777777" w:rsidR="004E5A49" w:rsidRPr="00766DB3" w:rsidRDefault="004E5A49" w:rsidP="004E5A49">
            <w:pPr>
              <w:jc w:val="center"/>
              <w:rPr>
                <w:i/>
                <w:iCs/>
                <w:color w:val="000000"/>
              </w:rPr>
            </w:pPr>
            <w:r w:rsidRPr="00766DB3">
              <w:rPr>
                <w:i/>
                <w:iCs/>
                <w:color w:val="00000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57ACD9" w14:textId="03C904AB" w:rsidR="004E5A49" w:rsidRPr="00766DB3" w:rsidRDefault="004E5A49" w:rsidP="004E5A49">
            <w:pPr>
              <w:jc w:val="center"/>
              <w:rPr>
                <w:i/>
                <w:iCs/>
                <w:color w:val="000000"/>
              </w:rPr>
            </w:pPr>
            <w:r w:rsidRPr="00C76029">
              <w:rPr>
                <w:i/>
                <w:iCs/>
                <w:color w:val="000000"/>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8EC266" w14:textId="51C4D1A3" w:rsidR="004E5A49" w:rsidRPr="00766DB3" w:rsidRDefault="004E5A49" w:rsidP="004E5A49">
            <w:pPr>
              <w:jc w:val="center"/>
              <w:rPr>
                <w:i/>
                <w:iCs/>
                <w:color w:val="000000"/>
              </w:rPr>
            </w:pPr>
            <w:r w:rsidRPr="00C76029">
              <w:rPr>
                <w:i/>
                <w:iCs/>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4C47410" w14:textId="06AB38EE" w:rsidR="004E5A49" w:rsidRPr="00766DB3" w:rsidRDefault="004E5A49" w:rsidP="004E5A49">
            <w:pPr>
              <w:jc w:val="center"/>
              <w:rPr>
                <w:i/>
                <w:iCs/>
                <w:color w:val="000000"/>
              </w:rPr>
            </w:pPr>
            <w:r w:rsidRPr="00C76029">
              <w:rPr>
                <w:i/>
                <w:iCs/>
                <w:color w:val="000000"/>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A53558" w14:textId="71B3A659" w:rsidR="004E5A49" w:rsidRPr="00766DB3" w:rsidRDefault="004E5A49" w:rsidP="004E5A49">
            <w:pPr>
              <w:jc w:val="center"/>
              <w:rPr>
                <w:i/>
                <w:iCs/>
                <w:color w:val="000000"/>
              </w:rPr>
            </w:pPr>
            <w:r w:rsidRPr="00C76029">
              <w:rPr>
                <w:i/>
                <w:iCs/>
                <w:color w:val="000000"/>
              </w:rPr>
              <w:t>3</w:t>
            </w:r>
          </w:p>
        </w:tc>
      </w:tr>
      <w:tr w:rsidR="004E5A49" w14:paraId="17CA616B" w14:textId="77777777" w:rsidTr="00766DB3">
        <w:trPr>
          <w:trHeight w:val="20"/>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F7590" w14:textId="77777777" w:rsidR="004E5A49" w:rsidRPr="00766DB3" w:rsidRDefault="004E5A49" w:rsidP="00766DB3">
            <w:pPr>
              <w:rPr>
                <w:color w:val="000000"/>
              </w:rPr>
            </w:pPr>
            <w:r w:rsidRPr="00766DB3">
              <w:rPr>
                <w:color w:val="000000"/>
              </w:rPr>
              <w:t>DH130910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E088E" w14:textId="77777777" w:rsidR="004E5A49" w:rsidRPr="00766DB3" w:rsidRDefault="004E5A49" w:rsidP="004E5A49">
            <w:pPr>
              <w:jc w:val="center"/>
              <w:rPr>
                <w:color w:val="000000"/>
              </w:rPr>
            </w:pPr>
            <w:r w:rsidRPr="00766DB3">
              <w:rPr>
                <w:color w:val="000000"/>
              </w:rPr>
              <w:t>46.4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AF100" w14:textId="77777777" w:rsidR="004E5A49" w:rsidRPr="00766DB3" w:rsidRDefault="004E5A49" w:rsidP="004E5A49">
            <w:pPr>
              <w:jc w:val="center"/>
              <w:rPr>
                <w:color w:val="000000"/>
              </w:rPr>
            </w:pPr>
            <w:r w:rsidRPr="00766DB3">
              <w:rPr>
                <w:color w:val="000000"/>
              </w:rPr>
              <w:t>96.4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C566D" w14:textId="77777777" w:rsidR="004E5A49" w:rsidRPr="00766DB3" w:rsidRDefault="004E5A49" w:rsidP="004E5A49">
            <w:pPr>
              <w:jc w:val="center"/>
              <w:rPr>
                <w:color w:val="000000"/>
              </w:rPr>
            </w:pPr>
            <w:r w:rsidRPr="00766DB3">
              <w:rPr>
                <w:color w:val="000000"/>
              </w:rPr>
              <w:t>79.6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941A" w14:textId="77777777" w:rsidR="004E5A49" w:rsidRPr="00766DB3" w:rsidRDefault="004E5A49" w:rsidP="004E5A49">
            <w:pPr>
              <w:jc w:val="center"/>
              <w:rPr>
                <w:color w:val="000000"/>
              </w:rPr>
            </w:pPr>
            <w:r w:rsidRPr="00766DB3">
              <w:rPr>
                <w:color w:val="000000"/>
              </w:rPr>
              <w:t>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EA70A0" w14:textId="1401A4C3" w:rsidR="004E5A49" w:rsidRPr="00766DB3" w:rsidRDefault="004E5A49" w:rsidP="004E5A49">
            <w:pPr>
              <w:jc w:val="center"/>
              <w:rPr>
                <w:color w:val="000000"/>
              </w:rPr>
            </w:pPr>
            <w:r w:rsidRPr="00C76029">
              <w:rPr>
                <w:color w:val="000000"/>
              </w:rPr>
              <w:t>162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EEF9965" w14:textId="1E1A8D35" w:rsidR="004E5A49" w:rsidRPr="00766DB3" w:rsidRDefault="004E5A49" w:rsidP="004E5A49">
            <w:pPr>
              <w:jc w:val="center"/>
              <w:rPr>
                <w:color w:val="000000"/>
              </w:rPr>
            </w:pPr>
            <w:r w:rsidRPr="00C76029">
              <w:rPr>
                <w:color w:val="000000"/>
              </w:rPr>
              <w:t>152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8DC876A" w14:textId="7BA7DEDA" w:rsidR="004E5A49" w:rsidRPr="00766DB3" w:rsidRDefault="004E5A49" w:rsidP="004E5A49">
            <w:pPr>
              <w:jc w:val="center"/>
              <w:rPr>
                <w:color w:val="000000"/>
              </w:rPr>
            </w:pPr>
            <w:r w:rsidRPr="00C76029">
              <w:rPr>
                <w:color w:val="000000"/>
              </w:rPr>
              <w:t>185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43D189" w14:textId="721D3EAA" w:rsidR="004E5A49" w:rsidRPr="00766DB3" w:rsidRDefault="004E5A49" w:rsidP="004E5A49">
            <w:pPr>
              <w:jc w:val="center"/>
              <w:rPr>
                <w:color w:val="000000"/>
              </w:rPr>
            </w:pPr>
            <w:r w:rsidRPr="00C76029">
              <w:rPr>
                <w:color w:val="000000"/>
              </w:rPr>
              <w:t>30</w:t>
            </w:r>
          </w:p>
        </w:tc>
      </w:tr>
      <w:tr w:rsidR="004E5A49" w14:paraId="0EEB7A51" w14:textId="77777777" w:rsidTr="00766DB3">
        <w:trPr>
          <w:trHeight w:val="20"/>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80808" w14:textId="77777777" w:rsidR="004E5A49" w:rsidRPr="001754E2" w:rsidRDefault="004E5A49" w:rsidP="004E5A49">
            <w:pPr>
              <w:rPr>
                <w:color w:val="000000"/>
              </w:rPr>
            </w:pPr>
            <w:r w:rsidRPr="001754E2">
              <w:rPr>
                <w:color w:val="000000"/>
              </w:rPr>
              <w:t>KWS Scala</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903A8" w14:textId="77777777" w:rsidR="004E5A49" w:rsidRPr="00766DB3" w:rsidRDefault="004E5A49" w:rsidP="004E5A49">
            <w:pPr>
              <w:jc w:val="center"/>
              <w:rPr>
                <w:color w:val="000000"/>
              </w:rPr>
            </w:pPr>
            <w:r w:rsidRPr="00766DB3">
              <w:rPr>
                <w:color w:val="000000"/>
              </w:rPr>
              <w:t>43.9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1B53" w14:textId="77777777" w:rsidR="004E5A49" w:rsidRPr="00766DB3" w:rsidRDefault="004E5A49" w:rsidP="004E5A49">
            <w:pPr>
              <w:jc w:val="center"/>
              <w:rPr>
                <w:color w:val="000000"/>
              </w:rPr>
            </w:pPr>
            <w:r w:rsidRPr="00766DB3">
              <w:rPr>
                <w:color w:val="000000"/>
              </w:rPr>
              <w:t>97.4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0A15" w14:textId="77777777" w:rsidR="004E5A49" w:rsidRPr="00766DB3" w:rsidRDefault="004E5A49" w:rsidP="004E5A49">
            <w:pPr>
              <w:jc w:val="center"/>
              <w:rPr>
                <w:color w:val="000000"/>
              </w:rPr>
            </w:pPr>
            <w:r w:rsidRPr="00766DB3">
              <w:rPr>
                <w:color w:val="00000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E93AF" w14:textId="77777777" w:rsidR="004E5A49" w:rsidRPr="00766DB3" w:rsidRDefault="004E5A49" w:rsidP="004E5A49">
            <w:pPr>
              <w:jc w:val="center"/>
              <w:rPr>
                <w:color w:val="000000"/>
              </w:rPr>
            </w:pPr>
            <w:r w:rsidRPr="00766DB3">
              <w:rPr>
                <w:color w:val="000000"/>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A46210" w14:textId="66F9E822" w:rsidR="004E5A49" w:rsidRPr="00766DB3" w:rsidRDefault="004E5A49" w:rsidP="004E5A49">
            <w:pPr>
              <w:jc w:val="center"/>
              <w:rPr>
                <w:color w:val="000000"/>
              </w:rPr>
            </w:pPr>
            <w:r w:rsidRPr="00C76029">
              <w:rPr>
                <w:color w:val="000000"/>
              </w:rPr>
              <w:t>181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452D037" w14:textId="1C4B3B3E" w:rsidR="004E5A49" w:rsidRPr="00766DB3" w:rsidRDefault="004E5A49" w:rsidP="004E5A49">
            <w:pPr>
              <w:jc w:val="center"/>
              <w:rPr>
                <w:color w:val="000000"/>
              </w:rPr>
            </w:pPr>
            <w:r w:rsidRPr="00C76029">
              <w:rPr>
                <w:color w:val="000000"/>
              </w:rPr>
              <w:t>99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0A7DA2" w14:textId="0D2C79AA" w:rsidR="004E5A49" w:rsidRPr="00766DB3" w:rsidRDefault="004E5A49" w:rsidP="004E5A49">
            <w:pPr>
              <w:jc w:val="center"/>
              <w:rPr>
                <w:color w:val="000000"/>
              </w:rPr>
            </w:pPr>
            <w:r w:rsidRPr="00C76029">
              <w:rPr>
                <w:color w:val="000000"/>
              </w:rPr>
              <w:t>176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829DC5" w14:textId="7E4434D0" w:rsidR="004E5A49" w:rsidRPr="00766DB3" w:rsidRDefault="004E5A49" w:rsidP="004E5A49">
            <w:pPr>
              <w:jc w:val="center"/>
              <w:rPr>
                <w:color w:val="000000"/>
              </w:rPr>
            </w:pPr>
            <w:r w:rsidRPr="00C76029">
              <w:rPr>
                <w:color w:val="000000"/>
              </w:rPr>
              <w:t>31</w:t>
            </w:r>
          </w:p>
        </w:tc>
      </w:tr>
      <w:tr w:rsidR="004E5A49" w14:paraId="4C4257DA" w14:textId="77777777" w:rsidTr="00766DB3">
        <w:trPr>
          <w:trHeight w:val="20"/>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0308A" w14:textId="77777777" w:rsidR="004E5A49" w:rsidRPr="001754E2" w:rsidRDefault="004E5A49" w:rsidP="004E5A49">
            <w:pPr>
              <w:rPr>
                <w:color w:val="000000"/>
              </w:rPr>
            </w:pPr>
            <w:r w:rsidRPr="001754E2">
              <w:rPr>
                <w:color w:val="000000"/>
              </w:rPr>
              <w:t>Endeavor</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32A66" w14:textId="77777777" w:rsidR="004E5A49" w:rsidRPr="00766DB3" w:rsidRDefault="004E5A49" w:rsidP="004E5A49">
            <w:pPr>
              <w:jc w:val="center"/>
              <w:rPr>
                <w:color w:val="000000"/>
              </w:rPr>
            </w:pPr>
            <w:r w:rsidRPr="00766DB3">
              <w:rPr>
                <w:color w:val="000000"/>
              </w:rPr>
              <w:t>33.9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E6619" w14:textId="77777777" w:rsidR="004E5A49" w:rsidRPr="00766DB3" w:rsidRDefault="004E5A49" w:rsidP="004E5A49">
            <w:pPr>
              <w:jc w:val="center"/>
              <w:rPr>
                <w:color w:val="000000"/>
              </w:rPr>
            </w:pPr>
            <w:r w:rsidRPr="00766DB3">
              <w:rPr>
                <w:color w:val="000000"/>
              </w:rPr>
              <w:t>80.5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F74CC" w14:textId="77777777" w:rsidR="004E5A49" w:rsidRPr="00766DB3" w:rsidRDefault="004E5A49" w:rsidP="004E5A49">
            <w:pPr>
              <w:jc w:val="center"/>
              <w:rPr>
                <w:color w:val="000000"/>
              </w:rPr>
            </w:pPr>
            <w:r w:rsidRPr="00766DB3">
              <w:rPr>
                <w:color w:val="000000"/>
              </w:rPr>
              <w:t>79.8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73EE" w14:textId="77777777" w:rsidR="004E5A49" w:rsidRPr="00766DB3" w:rsidRDefault="004E5A49" w:rsidP="004E5A49">
            <w:pPr>
              <w:jc w:val="center"/>
              <w:rPr>
                <w:color w:val="000000"/>
              </w:rPr>
            </w:pPr>
            <w:r w:rsidRPr="00766DB3">
              <w:rPr>
                <w:color w:val="000000"/>
              </w:rPr>
              <w:t>12.2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0C1F51" w14:textId="19AB0966" w:rsidR="004E5A49" w:rsidRPr="00766DB3" w:rsidRDefault="004E5A49" w:rsidP="004E5A49">
            <w:pPr>
              <w:jc w:val="center"/>
              <w:rPr>
                <w:color w:val="000000"/>
              </w:rPr>
            </w:pPr>
            <w:r w:rsidRPr="00C76029">
              <w:rPr>
                <w:color w:val="000000"/>
              </w:rPr>
              <w:t>172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1A4690" w14:textId="51944F04" w:rsidR="004E5A49" w:rsidRPr="00766DB3" w:rsidRDefault="004E5A49" w:rsidP="004E5A49">
            <w:pPr>
              <w:jc w:val="center"/>
              <w:rPr>
                <w:color w:val="000000"/>
              </w:rPr>
            </w:pPr>
            <w:r w:rsidRPr="00C76029">
              <w:rPr>
                <w:color w:val="000000"/>
              </w:rPr>
              <w:t>239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11B797" w14:textId="41A838CD" w:rsidR="004E5A49" w:rsidRPr="00766DB3" w:rsidRDefault="004E5A49" w:rsidP="004E5A49">
            <w:pPr>
              <w:jc w:val="center"/>
              <w:rPr>
                <w:color w:val="000000"/>
              </w:rPr>
            </w:pPr>
            <w:r w:rsidRPr="00C76029">
              <w:rPr>
                <w:color w:val="000000"/>
              </w:rPr>
              <w:t>212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BCD4F4" w14:textId="6D97DCF9" w:rsidR="004E5A49" w:rsidRPr="00766DB3" w:rsidRDefault="004E5A49" w:rsidP="004E5A49">
            <w:pPr>
              <w:jc w:val="center"/>
              <w:rPr>
                <w:color w:val="000000"/>
              </w:rPr>
            </w:pPr>
            <w:r w:rsidRPr="00C76029">
              <w:rPr>
                <w:color w:val="000000"/>
              </w:rPr>
              <w:t>23</w:t>
            </w:r>
          </w:p>
        </w:tc>
      </w:tr>
    </w:tbl>
    <w:p w14:paraId="62230CCB" w14:textId="77777777" w:rsidR="003508F1" w:rsidRDefault="003508F1" w:rsidP="003508F1">
      <w:pPr>
        <w:pStyle w:val="BodyText"/>
        <w:spacing w:line="240" w:lineRule="auto"/>
        <w:rPr>
          <w:sz w:val="22"/>
          <w:szCs w:val="22"/>
        </w:rPr>
      </w:pPr>
    </w:p>
    <w:p w14:paraId="0F0D4FE5" w14:textId="760527C0" w:rsidR="002A064B" w:rsidRPr="006003F6" w:rsidRDefault="007741C0" w:rsidP="007741C0">
      <w:pPr>
        <w:pStyle w:val="BodyText"/>
        <w:spacing w:line="240" w:lineRule="auto"/>
        <w:rPr>
          <w:sz w:val="20"/>
        </w:rPr>
      </w:pPr>
      <w:r w:rsidRPr="006003F6">
        <w:rPr>
          <w:sz w:val="20"/>
          <w:vertAlign w:val="superscript"/>
        </w:rPr>
        <w:t>1</w:t>
      </w:r>
      <w:r w:rsidRPr="006003F6">
        <w:rPr>
          <w:sz w:val="20"/>
        </w:rPr>
        <w:t>Data courtesy of the USDA-ARS Cereal Crops Research Unit, Madison, WI.</w:t>
      </w:r>
    </w:p>
    <w:p w14:paraId="5A41C8AB" w14:textId="0CBEB0DA" w:rsidR="007741C0" w:rsidRDefault="007741C0" w:rsidP="002A064B">
      <w:pPr>
        <w:pStyle w:val="BodyText"/>
        <w:spacing w:line="240" w:lineRule="auto"/>
      </w:pPr>
    </w:p>
    <w:p w14:paraId="0A935891" w14:textId="77777777" w:rsidR="002A064B" w:rsidRPr="00B127A0" w:rsidRDefault="002A064B" w:rsidP="00766DB3">
      <w:pPr>
        <w:pStyle w:val="BodyText"/>
        <w:spacing w:line="240" w:lineRule="auto"/>
      </w:pPr>
    </w:p>
    <w:p w14:paraId="6E7AB816" w14:textId="474AF5AE" w:rsidR="002F7A71" w:rsidRPr="00642030" w:rsidRDefault="00AD3E5A" w:rsidP="00B127A0">
      <w:pPr>
        <w:spacing w:after="240" w:line="480" w:lineRule="auto"/>
        <w:rPr>
          <w:b/>
        </w:rPr>
      </w:pPr>
      <w:r w:rsidRPr="00642030">
        <w:rPr>
          <w:b/>
        </w:rPr>
        <w:t>Seed production</w:t>
      </w:r>
    </w:p>
    <w:p w14:paraId="62E9FCE8" w14:textId="7BE65599" w:rsidR="00554462" w:rsidRPr="006077DE" w:rsidRDefault="001023DD" w:rsidP="00B127A0">
      <w:pPr>
        <w:spacing w:after="240" w:line="480" w:lineRule="auto"/>
      </w:pPr>
      <w:r w:rsidRPr="00766DB3">
        <w:t xml:space="preserve">The production of certified classes of seed is proceeding in three ways. 1) </w:t>
      </w:r>
      <w:r w:rsidR="00F12F2A" w:rsidRPr="00766DB3">
        <w:t>B</w:t>
      </w:r>
      <w:r w:rsidR="00257852" w:rsidRPr="00766DB3">
        <w:t>r</w:t>
      </w:r>
      <w:r w:rsidR="002F7A71" w:rsidRPr="00766DB3">
        <w:t>eeder’s seed was produced from head row purificati</w:t>
      </w:r>
      <w:r w:rsidR="00642030" w:rsidRPr="00766DB3">
        <w:t>on blocks at Hyslop Farm in 2019</w:t>
      </w:r>
      <w:r w:rsidR="002F7A71" w:rsidRPr="00766DB3">
        <w:t xml:space="preserve">. </w:t>
      </w:r>
      <w:r w:rsidRPr="00766DB3">
        <w:t xml:space="preserve">Approximately one acre of this seed </w:t>
      </w:r>
      <w:r w:rsidR="002F7A71" w:rsidRPr="00766DB3">
        <w:t xml:space="preserve">was </w:t>
      </w:r>
      <w:r w:rsidRPr="00766DB3">
        <w:t xml:space="preserve">planted in the fall of 2019 at Othello, Washington by </w:t>
      </w:r>
      <w:r w:rsidR="002F7A71" w:rsidRPr="00766DB3">
        <w:t xml:space="preserve">Washington </w:t>
      </w:r>
      <w:r w:rsidR="00E06203" w:rsidRPr="00766DB3">
        <w:t xml:space="preserve">State </w:t>
      </w:r>
      <w:r w:rsidR="002F7A71" w:rsidRPr="00766DB3">
        <w:t xml:space="preserve">Crop Improvement </w:t>
      </w:r>
      <w:r w:rsidR="00E06203" w:rsidRPr="00766DB3">
        <w:t xml:space="preserve">Association </w:t>
      </w:r>
      <w:proofErr w:type="gramStart"/>
      <w:r w:rsidR="002F7A71" w:rsidRPr="00766DB3">
        <w:t xml:space="preserve">for </w:t>
      </w:r>
      <w:r w:rsidRPr="00766DB3">
        <w:t>the production of</w:t>
      </w:r>
      <w:proofErr w:type="gramEnd"/>
      <w:r w:rsidRPr="00766DB3">
        <w:t xml:space="preserve"> </w:t>
      </w:r>
      <w:r w:rsidR="002F7A71" w:rsidRPr="00766DB3">
        <w:t xml:space="preserve">Foundation </w:t>
      </w:r>
      <w:r w:rsidRPr="00766DB3">
        <w:t xml:space="preserve">seed. 2) Breeder’s seed from increase blocks grown at Corvallis, Oregon was harvested in 2018 and, under a research Materials Transfer Agreement, was used by Golden Valley Warehouses Inc. to plant approximately </w:t>
      </w:r>
      <w:r w:rsidR="00857B92" w:rsidRPr="00766DB3">
        <w:t xml:space="preserve">one </w:t>
      </w:r>
      <w:r w:rsidRPr="00766DB3">
        <w:lastRenderedPageBreak/>
        <w:t xml:space="preserve">acre of Breeder’s seed near Rupert, Idaho in the fall of 2018. The approximately </w:t>
      </w:r>
      <w:r w:rsidR="00857B92" w:rsidRPr="00766DB3">
        <w:t>8</w:t>
      </w:r>
      <w:r w:rsidRPr="00766DB3">
        <w:t xml:space="preserve">,000 pounds of seed from this increase were used to plant approximately </w:t>
      </w:r>
      <w:r w:rsidR="00857B92" w:rsidRPr="00766DB3">
        <w:t xml:space="preserve">80 </w:t>
      </w:r>
      <w:r w:rsidRPr="00766DB3">
        <w:t xml:space="preserve">acres </w:t>
      </w:r>
      <w:r w:rsidR="00AC018F" w:rsidRPr="00766DB3">
        <w:t>in</w:t>
      </w:r>
      <w:r w:rsidRPr="00766DB3">
        <w:t xml:space="preserve"> the fall of 2019. </w:t>
      </w:r>
      <w:r w:rsidR="00AC018F" w:rsidRPr="00766DB3">
        <w:t xml:space="preserve">Production from this acreage (2020 harvest) will be used primarily for commercial assessment of malting quality by Great Western Malting. </w:t>
      </w:r>
      <w:r w:rsidR="00857B92" w:rsidRPr="00766DB3">
        <w:t xml:space="preserve">Approximately ten </w:t>
      </w:r>
      <w:r w:rsidR="00AC018F" w:rsidRPr="00766DB3">
        <w:t xml:space="preserve">acres will be reserved for production of Experimental Foundation </w:t>
      </w:r>
      <w:r w:rsidR="00857B92" w:rsidRPr="00766DB3">
        <w:t>S</w:t>
      </w:r>
      <w:r w:rsidR="00AC018F" w:rsidRPr="00766DB3">
        <w:t>eed, pending passing inspection by the Idaho Crop Improvement</w:t>
      </w:r>
      <w:r w:rsidR="00E06203" w:rsidRPr="00766DB3">
        <w:t xml:space="preserve"> </w:t>
      </w:r>
      <w:r w:rsidR="00257852" w:rsidRPr="00766DB3">
        <w:t>Association</w:t>
      </w:r>
      <w:r w:rsidR="00994DFA" w:rsidRPr="00766DB3">
        <w:t xml:space="preserve">. 3) </w:t>
      </w:r>
      <w:r w:rsidR="00554462" w:rsidRPr="00C14B26">
        <w:t>In New York, 1</w:t>
      </w:r>
      <w:r w:rsidR="00554462">
        <w:t xml:space="preserve"> acre of breeder seed was planted in the spring of 2019 using seed harvested from rogued trial plots. This lot was rogued thoroughly and inspected by the New York Seed Improvement Project and approximately 900 pounds of seed were harvested and cleaned. In the fall of 2019, seven acres were planted for Foundation seed production.</w:t>
      </w:r>
    </w:p>
    <w:p w14:paraId="2D1F0409" w14:textId="67C61514" w:rsidR="00984C73" w:rsidRPr="006077DE" w:rsidRDefault="00984C73" w:rsidP="00B127A0">
      <w:pPr>
        <w:spacing w:after="240" w:line="480" w:lineRule="auto"/>
        <w:rPr>
          <w:b/>
        </w:rPr>
      </w:pPr>
      <w:r w:rsidRPr="006077DE">
        <w:rPr>
          <w:b/>
        </w:rPr>
        <w:t xml:space="preserve">Licensing and royalties </w:t>
      </w:r>
    </w:p>
    <w:p w14:paraId="30250ACA" w14:textId="2B557D3B" w:rsidR="00E37F80" w:rsidRPr="006077DE" w:rsidRDefault="00F12F2A" w:rsidP="00B127A0">
      <w:pPr>
        <w:spacing w:after="240" w:line="480" w:lineRule="auto"/>
        <w:rPr>
          <w:b/>
        </w:rPr>
      </w:pPr>
      <w:r w:rsidRPr="006077DE">
        <w:t>DH130910</w:t>
      </w:r>
      <w:r w:rsidR="002F7A71" w:rsidRPr="006077DE">
        <w:t xml:space="preserve"> is recommended for release </w:t>
      </w:r>
      <w:r w:rsidR="00C108A4" w:rsidRPr="006077DE">
        <w:t xml:space="preserve">with </w:t>
      </w:r>
      <w:r w:rsidR="002F7A71" w:rsidRPr="006077DE">
        <w:t>non-exclusive license</w:t>
      </w:r>
      <w:r w:rsidR="00C108A4" w:rsidRPr="006077DE">
        <w:t>s</w:t>
      </w:r>
      <w:r w:rsidR="002F7A71" w:rsidRPr="006077DE">
        <w:t xml:space="preserve">. </w:t>
      </w:r>
      <w:r w:rsidR="00984C73" w:rsidRPr="006077DE">
        <w:t>Release with non-exclusive license</w:t>
      </w:r>
      <w:r w:rsidR="00C108A4" w:rsidRPr="006077DE">
        <w:t>s</w:t>
      </w:r>
      <w:r w:rsidR="00984C73" w:rsidRPr="006077DE">
        <w:t xml:space="preserve"> is a condition for receipt of research funding from the American Malting Barley Association. There will be a one-t</w:t>
      </w:r>
      <w:r w:rsidR="00C108A4" w:rsidRPr="006077DE">
        <w:t xml:space="preserve">ime application fee of $250 for each non-exclusive </w:t>
      </w:r>
      <w:r w:rsidR="00984C73" w:rsidRPr="006077DE">
        <w:t>license. Those interested in a license should contact Denis Sather at the OSU Office of</w:t>
      </w:r>
      <w:r w:rsidR="00E06203">
        <w:t xml:space="preserve"> </w:t>
      </w:r>
      <w:r w:rsidR="00984C73" w:rsidRPr="006077DE">
        <w:t>Commercialization and Corporate Development</w:t>
      </w:r>
      <w:r w:rsidR="00C108A4" w:rsidRPr="006077DE">
        <w:t xml:space="preserve"> (denis.</w:t>
      </w:r>
      <w:r w:rsidR="006F6AFE" w:rsidRPr="006077DE">
        <w:t>d.</w:t>
      </w:r>
      <w:r w:rsidR="00C108A4" w:rsidRPr="006077DE">
        <w:t>sather@oregonstate.edu)</w:t>
      </w:r>
      <w:r w:rsidR="00984C73" w:rsidRPr="006077DE">
        <w:t xml:space="preserve">. </w:t>
      </w:r>
      <w:r w:rsidRPr="006077DE">
        <w:t xml:space="preserve">DH130910 </w:t>
      </w:r>
      <w:r w:rsidR="00984C73" w:rsidRPr="006077DE">
        <w:t xml:space="preserve">can only be sold as a class of certified seed with a royalty of </w:t>
      </w:r>
      <w:r w:rsidR="002F7A71" w:rsidRPr="006077DE">
        <w:t>$0.03/lb</w:t>
      </w:r>
      <w:r w:rsidR="00984C73" w:rsidRPr="006077DE">
        <w:t xml:space="preserve">. </w:t>
      </w:r>
      <w:r w:rsidR="0019165E" w:rsidRPr="006077DE">
        <w:t>The $0.03/</w:t>
      </w:r>
      <w:proofErr w:type="spellStart"/>
      <w:r w:rsidR="0019165E" w:rsidRPr="006077DE">
        <w:t>lb</w:t>
      </w:r>
      <w:proofErr w:type="spellEnd"/>
      <w:r w:rsidR="0019165E" w:rsidRPr="006077DE">
        <w:t xml:space="preserve"> royalty will be paid on sale of this seed. </w:t>
      </w:r>
      <w:r w:rsidRPr="006077DE">
        <w:t xml:space="preserve">All grain harvested </w:t>
      </w:r>
      <w:r w:rsidR="00984C73" w:rsidRPr="006077DE">
        <w:t xml:space="preserve">must be </w:t>
      </w:r>
      <w:r w:rsidR="008F5CC9" w:rsidRPr="006077DE">
        <w:t>disposed of by malting or f</w:t>
      </w:r>
      <w:r w:rsidR="00984C73" w:rsidRPr="006077DE">
        <w:t>eeding, unless permission</w:t>
      </w:r>
      <w:r w:rsidR="008F5CC9" w:rsidRPr="006077DE">
        <w:t xml:space="preserve"> </w:t>
      </w:r>
      <w:r w:rsidR="00637ABC" w:rsidRPr="006077DE">
        <w:t xml:space="preserve">is obtained - </w:t>
      </w:r>
      <w:r w:rsidR="008F5CC9" w:rsidRPr="006077DE">
        <w:t>in writing</w:t>
      </w:r>
      <w:r w:rsidR="00637ABC" w:rsidRPr="006077DE">
        <w:t xml:space="preserve"> </w:t>
      </w:r>
      <w:r w:rsidR="00AC018F">
        <w:t>-</w:t>
      </w:r>
      <w:r w:rsidR="00637ABC" w:rsidRPr="006077DE">
        <w:t xml:space="preserve"> from </w:t>
      </w:r>
      <w:r w:rsidR="008F5CC9" w:rsidRPr="006077DE">
        <w:t xml:space="preserve">OSU to use </w:t>
      </w:r>
      <w:r w:rsidR="00637ABC" w:rsidRPr="006077DE">
        <w:t xml:space="preserve">the seed for </w:t>
      </w:r>
      <w:r w:rsidR="008F5CC9" w:rsidRPr="006077DE">
        <w:t xml:space="preserve">other purposes, including re-planting. </w:t>
      </w:r>
      <w:r w:rsidR="00AC018F" w:rsidRPr="00766DB3">
        <w:t xml:space="preserve">In </w:t>
      </w:r>
      <w:proofErr w:type="gramStart"/>
      <w:r w:rsidR="00AC018F" w:rsidRPr="00766DB3">
        <w:t>New York</w:t>
      </w:r>
      <w:proofErr w:type="gramEnd"/>
      <w:r w:rsidR="00AC018F" w:rsidRPr="00766DB3">
        <w:t xml:space="preserve"> a research fee will be charged per </w:t>
      </w:r>
      <w:r w:rsidR="00AB53E0" w:rsidRPr="00766DB3">
        <w:t>pound</w:t>
      </w:r>
      <w:r w:rsidR="00AC018F" w:rsidRPr="00766DB3">
        <w:t xml:space="preserve"> of Foundation seed sold in order to cover costs and support further barley research.</w:t>
      </w:r>
      <w:r w:rsidR="00D31549">
        <w:t xml:space="preserve"> The New York Seed Improvement Project will be authorized to produce Breeder and Foundation seed as needed for seed production in the Northeast.</w:t>
      </w:r>
    </w:p>
    <w:p w14:paraId="13A982B0" w14:textId="152D8CC4" w:rsidR="008F5CC9" w:rsidRPr="00F12F2A" w:rsidRDefault="008F5CC9" w:rsidP="00B127A0">
      <w:pPr>
        <w:spacing w:after="240" w:line="480" w:lineRule="auto"/>
      </w:pPr>
      <w:r w:rsidRPr="00F12F2A">
        <w:rPr>
          <w:b/>
        </w:rPr>
        <w:lastRenderedPageBreak/>
        <w:t>Variety protection</w:t>
      </w:r>
      <w:r w:rsidRPr="00F12F2A">
        <w:t xml:space="preserve"> </w:t>
      </w:r>
    </w:p>
    <w:p w14:paraId="040F5C53" w14:textId="00F701FB" w:rsidR="00C108A4" w:rsidRPr="00B127A0" w:rsidRDefault="008F5CC9" w:rsidP="00B127A0">
      <w:pPr>
        <w:spacing w:after="240" w:line="480" w:lineRule="auto"/>
      </w:pPr>
      <w:r w:rsidRPr="00F12F2A">
        <w:t xml:space="preserve">Plant Variety Protection will not be sought for </w:t>
      </w:r>
      <w:r w:rsidR="00F12F2A" w:rsidRPr="00F12F2A">
        <w:t>DH130910</w:t>
      </w:r>
      <w:r w:rsidR="00152C64">
        <w:t xml:space="preserve"> due to the special status of malting barley in the US, where </w:t>
      </w:r>
      <w:r w:rsidR="00C108A4" w:rsidRPr="00F12F2A">
        <w:t xml:space="preserve">the malting barley supply chain is based on sale of certified seed. By specifying that all seed sales must be a class of certified seed </w:t>
      </w:r>
      <w:r w:rsidR="00F12F2A" w:rsidRPr="00F12F2A">
        <w:t>we will ensure</w:t>
      </w:r>
      <w:r w:rsidR="00C108A4" w:rsidRPr="00F12F2A">
        <w:t xml:space="preserve"> that growers will be purchasing seed from the seed dealers with non-exclusive licenses. </w:t>
      </w:r>
      <w:r w:rsidR="00A33E16">
        <w:t xml:space="preserve">There is not an open market in the US for malting barley that is not grown from a class of certified seed: the risk to the maltster is too great. </w:t>
      </w:r>
      <w:r w:rsidR="00C108A4" w:rsidRPr="00F12F2A">
        <w:t xml:space="preserve">The variety will be protected by Federal Seed Law and OSU recognized as the owner of the variety. Furthermore, Oregon, Idaho and Washington state trademarks will be applied for that specify the variety </w:t>
      </w:r>
      <w:r w:rsidR="00142E0B">
        <w:t>c</w:t>
      </w:r>
      <w:r w:rsidR="00C108A4" w:rsidRPr="00F12F2A">
        <w:t>an only be sold under the name of “</w:t>
      </w:r>
      <w:r w:rsidR="006077DE" w:rsidRPr="006077DE">
        <w:t>Lightning</w:t>
      </w:r>
      <w:r w:rsidR="00C108A4" w:rsidRPr="006077DE">
        <w:t>”</w:t>
      </w:r>
      <w:r w:rsidR="00C108A4" w:rsidRPr="00F12F2A">
        <w:t>.</w:t>
      </w:r>
      <w:r w:rsidR="00C108A4" w:rsidRPr="00B127A0">
        <w:t xml:space="preserve"> </w:t>
      </w:r>
      <w:r w:rsidR="00A33E16">
        <w:t xml:space="preserve"> </w:t>
      </w:r>
    </w:p>
    <w:p w14:paraId="240C01E1" w14:textId="11F9A028" w:rsidR="00C108A4" w:rsidRPr="00B127A0" w:rsidRDefault="002F7A71" w:rsidP="00B127A0">
      <w:pPr>
        <w:spacing w:after="240" w:line="480" w:lineRule="auto"/>
        <w:rPr>
          <w:b/>
        </w:rPr>
      </w:pPr>
      <w:r w:rsidRPr="00B127A0">
        <w:rPr>
          <w:b/>
        </w:rPr>
        <w:t xml:space="preserve">Notice of the release </w:t>
      </w:r>
      <w:r w:rsidR="00C108A4" w:rsidRPr="00B127A0">
        <w:rPr>
          <w:b/>
        </w:rPr>
        <w:t>and deposition in seed repositories</w:t>
      </w:r>
    </w:p>
    <w:p w14:paraId="62CD362F" w14:textId="1BAD1F95" w:rsidR="00E02D96" w:rsidRPr="00B127A0" w:rsidRDefault="00C108A4" w:rsidP="00B127A0">
      <w:pPr>
        <w:spacing w:after="240" w:line="480" w:lineRule="auto"/>
      </w:pPr>
      <w:r w:rsidRPr="00B127A0">
        <w:t xml:space="preserve">A variety release for </w:t>
      </w:r>
      <w:r w:rsidR="00E02D96">
        <w:t>DH</w:t>
      </w:r>
      <w:r w:rsidR="00AD3E5A">
        <w:t>130910</w:t>
      </w:r>
      <w:r w:rsidR="002F7A71" w:rsidRPr="00B127A0">
        <w:t xml:space="preserve"> will be submitted to the Journal of Plant Registrations and seed </w:t>
      </w:r>
      <w:r w:rsidR="00D338F5" w:rsidRPr="00B127A0">
        <w:t xml:space="preserve">will be </w:t>
      </w:r>
      <w:r w:rsidR="002F7A71" w:rsidRPr="00B127A0">
        <w:t xml:space="preserve">deposited with USDA collections, as required for such releases.  </w:t>
      </w:r>
    </w:p>
    <w:p w14:paraId="23DD178C" w14:textId="77777777" w:rsidR="00766FF5" w:rsidRPr="00B127A0" w:rsidRDefault="002F7A71" w:rsidP="00B127A0">
      <w:pPr>
        <w:spacing w:after="240" w:line="480" w:lineRule="auto"/>
      </w:pPr>
      <w:r w:rsidRPr="00B127A0">
        <w:rPr>
          <w:b/>
        </w:rPr>
        <w:t>Acknowledgements</w:t>
      </w:r>
    </w:p>
    <w:p w14:paraId="3FFD1596" w14:textId="481ACBD4" w:rsidR="009D1AAA" w:rsidRPr="00B127A0" w:rsidRDefault="002F7A71" w:rsidP="00B127A0">
      <w:pPr>
        <w:spacing w:after="240" w:line="480" w:lineRule="auto"/>
      </w:pPr>
      <w:r w:rsidRPr="00B127A0">
        <w:t xml:space="preserve">The development of </w:t>
      </w:r>
      <w:r w:rsidR="00E02D96">
        <w:t>DH</w:t>
      </w:r>
      <w:r w:rsidR="00AD3E5A">
        <w:t>130910</w:t>
      </w:r>
      <w:r w:rsidRPr="00B127A0">
        <w:t xml:space="preserve"> was supported by the American Malting Barley Association, Great Western Malting, the Oregon Agricultural Experiment Station</w:t>
      </w:r>
      <w:r w:rsidR="00766FF5" w:rsidRPr="00B127A0">
        <w:t xml:space="preserve">, </w:t>
      </w:r>
      <w:r w:rsidRPr="00B127A0">
        <w:t>a</w:t>
      </w:r>
      <w:r w:rsidR="00AD3E5A">
        <w:t>nd the Oregon Wheat Commission.</w:t>
      </w:r>
      <w:r w:rsidR="00A33E16">
        <w:t xml:space="preserve"> </w:t>
      </w:r>
      <w:r w:rsidR="00142E0B">
        <w:t xml:space="preserve">Financial support for the evaluation and Breeder seed production of DH130910 </w:t>
      </w:r>
      <w:r w:rsidR="00766DB3">
        <w:t xml:space="preserve">in New York </w:t>
      </w:r>
      <w:r w:rsidR="00142E0B">
        <w:t xml:space="preserve">was provided by Federal Capacity Funds </w:t>
      </w:r>
      <w:r w:rsidR="006B03D5">
        <w:t xml:space="preserve">under </w:t>
      </w:r>
      <w:r w:rsidR="00142E0B">
        <w:t xml:space="preserve">Hatch Project 149-447. </w:t>
      </w:r>
    </w:p>
    <w:sectPr w:rsidR="009D1AAA" w:rsidRPr="00B127A0" w:rsidSect="00FD05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53807" w14:textId="77777777" w:rsidR="00A426C0" w:rsidRDefault="00A426C0" w:rsidP="002F7EF0">
      <w:r>
        <w:separator/>
      </w:r>
    </w:p>
  </w:endnote>
  <w:endnote w:type="continuationSeparator" w:id="0">
    <w:p w14:paraId="1E7A572B" w14:textId="77777777" w:rsidR="00A426C0" w:rsidRDefault="00A426C0" w:rsidP="002F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658E7" w14:textId="77777777" w:rsidR="00A426C0" w:rsidRDefault="00A426C0" w:rsidP="002F7EF0">
      <w:r>
        <w:separator/>
      </w:r>
    </w:p>
  </w:footnote>
  <w:footnote w:type="continuationSeparator" w:id="0">
    <w:p w14:paraId="163F0FD6" w14:textId="77777777" w:rsidR="00A426C0" w:rsidRDefault="00A426C0" w:rsidP="002F7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2874793"/>
      <w:docPartObj>
        <w:docPartGallery w:val="Page Numbers (Top of Page)"/>
        <w:docPartUnique/>
      </w:docPartObj>
    </w:sdtPr>
    <w:sdtEndPr>
      <w:rPr>
        <w:noProof/>
      </w:rPr>
    </w:sdtEndPr>
    <w:sdtContent>
      <w:p w14:paraId="3D25D8B3" w14:textId="08628720" w:rsidR="00215460" w:rsidRDefault="00215460">
        <w:pPr>
          <w:pStyle w:val="Header"/>
          <w:jc w:val="right"/>
        </w:pPr>
        <w:r>
          <w:fldChar w:fldCharType="begin"/>
        </w:r>
        <w:r>
          <w:instrText xml:space="preserve"> PAGE   \* MERGEFORMAT </w:instrText>
        </w:r>
        <w:r>
          <w:fldChar w:fldCharType="separate"/>
        </w:r>
        <w:r w:rsidR="00FB61DF">
          <w:rPr>
            <w:noProof/>
          </w:rPr>
          <w:t>1</w:t>
        </w:r>
        <w:r>
          <w:rPr>
            <w:noProof/>
          </w:rPr>
          <w:fldChar w:fldCharType="end"/>
        </w:r>
      </w:p>
    </w:sdtContent>
  </w:sdt>
  <w:p w14:paraId="2FC95610" w14:textId="77777777" w:rsidR="00215460" w:rsidRDefault="00215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E4"/>
    <w:rsid w:val="000064AF"/>
    <w:rsid w:val="000134B1"/>
    <w:rsid w:val="00017573"/>
    <w:rsid w:val="000314B3"/>
    <w:rsid w:val="00034BFE"/>
    <w:rsid w:val="00061491"/>
    <w:rsid w:val="0006644B"/>
    <w:rsid w:val="0007298F"/>
    <w:rsid w:val="00092EC3"/>
    <w:rsid w:val="000A0149"/>
    <w:rsid w:val="000A0541"/>
    <w:rsid w:val="000A2437"/>
    <w:rsid w:val="000A6464"/>
    <w:rsid w:val="000B5EAA"/>
    <w:rsid w:val="000E44E1"/>
    <w:rsid w:val="000F0859"/>
    <w:rsid w:val="000F5CC6"/>
    <w:rsid w:val="001023DD"/>
    <w:rsid w:val="00103F93"/>
    <w:rsid w:val="00114589"/>
    <w:rsid w:val="001147F9"/>
    <w:rsid w:val="001240C7"/>
    <w:rsid w:val="00142E0B"/>
    <w:rsid w:val="00146792"/>
    <w:rsid w:val="00152C64"/>
    <w:rsid w:val="0017179F"/>
    <w:rsid w:val="001754E2"/>
    <w:rsid w:val="00176A9E"/>
    <w:rsid w:val="00177FD1"/>
    <w:rsid w:val="0018676D"/>
    <w:rsid w:val="0019165E"/>
    <w:rsid w:val="00195473"/>
    <w:rsid w:val="001A0A11"/>
    <w:rsid w:val="001A4205"/>
    <w:rsid w:val="001B2E77"/>
    <w:rsid w:val="001D6C5D"/>
    <w:rsid w:val="001F11DB"/>
    <w:rsid w:val="00200787"/>
    <w:rsid w:val="002020FF"/>
    <w:rsid w:val="00212CFE"/>
    <w:rsid w:val="00215460"/>
    <w:rsid w:val="00234A2F"/>
    <w:rsid w:val="002352CE"/>
    <w:rsid w:val="00257852"/>
    <w:rsid w:val="0026072B"/>
    <w:rsid w:val="00291678"/>
    <w:rsid w:val="002A064B"/>
    <w:rsid w:val="002B6D35"/>
    <w:rsid w:val="002C7744"/>
    <w:rsid w:val="002C7B6A"/>
    <w:rsid w:val="002D3FB4"/>
    <w:rsid w:val="002D6FEA"/>
    <w:rsid w:val="002E07E6"/>
    <w:rsid w:val="002E55F8"/>
    <w:rsid w:val="002E568D"/>
    <w:rsid w:val="002F2267"/>
    <w:rsid w:val="002F258F"/>
    <w:rsid w:val="002F7A71"/>
    <w:rsid w:val="002F7EF0"/>
    <w:rsid w:val="003459BB"/>
    <w:rsid w:val="003508F1"/>
    <w:rsid w:val="00356D86"/>
    <w:rsid w:val="00371FDF"/>
    <w:rsid w:val="00381918"/>
    <w:rsid w:val="00382B45"/>
    <w:rsid w:val="00383037"/>
    <w:rsid w:val="003B2E6B"/>
    <w:rsid w:val="003B3A61"/>
    <w:rsid w:val="003B3D45"/>
    <w:rsid w:val="003D107E"/>
    <w:rsid w:val="003E0C5E"/>
    <w:rsid w:val="00400A64"/>
    <w:rsid w:val="00406886"/>
    <w:rsid w:val="00410BE2"/>
    <w:rsid w:val="00423501"/>
    <w:rsid w:val="004371FD"/>
    <w:rsid w:val="00447BCD"/>
    <w:rsid w:val="004547AD"/>
    <w:rsid w:val="00467AD0"/>
    <w:rsid w:val="0047062D"/>
    <w:rsid w:val="00491518"/>
    <w:rsid w:val="0049699E"/>
    <w:rsid w:val="00496DD5"/>
    <w:rsid w:val="004A5365"/>
    <w:rsid w:val="004A53F8"/>
    <w:rsid w:val="004B6181"/>
    <w:rsid w:val="004C7DFB"/>
    <w:rsid w:val="004D2ABC"/>
    <w:rsid w:val="004E5A49"/>
    <w:rsid w:val="004E600E"/>
    <w:rsid w:val="004F2A59"/>
    <w:rsid w:val="00506BE2"/>
    <w:rsid w:val="00531160"/>
    <w:rsid w:val="00541C5C"/>
    <w:rsid w:val="005521C2"/>
    <w:rsid w:val="00552F81"/>
    <w:rsid w:val="00554462"/>
    <w:rsid w:val="005570CB"/>
    <w:rsid w:val="005671ED"/>
    <w:rsid w:val="00567DA8"/>
    <w:rsid w:val="005735A3"/>
    <w:rsid w:val="0059025A"/>
    <w:rsid w:val="00597240"/>
    <w:rsid w:val="005A7C5A"/>
    <w:rsid w:val="005C6C02"/>
    <w:rsid w:val="005D4A6A"/>
    <w:rsid w:val="005E1D45"/>
    <w:rsid w:val="005E6DAA"/>
    <w:rsid w:val="00600EA8"/>
    <w:rsid w:val="006067B5"/>
    <w:rsid w:val="006077DE"/>
    <w:rsid w:val="006169F0"/>
    <w:rsid w:val="00623D44"/>
    <w:rsid w:val="0062610C"/>
    <w:rsid w:val="00630968"/>
    <w:rsid w:val="00637ABC"/>
    <w:rsid w:val="00642030"/>
    <w:rsid w:val="00650BE0"/>
    <w:rsid w:val="00651BC5"/>
    <w:rsid w:val="0065214D"/>
    <w:rsid w:val="006564D8"/>
    <w:rsid w:val="00656F35"/>
    <w:rsid w:val="00664436"/>
    <w:rsid w:val="00672065"/>
    <w:rsid w:val="006856B6"/>
    <w:rsid w:val="00693243"/>
    <w:rsid w:val="006B03D5"/>
    <w:rsid w:val="006B36E2"/>
    <w:rsid w:val="006E44A2"/>
    <w:rsid w:val="006E7928"/>
    <w:rsid w:val="006F0DA3"/>
    <w:rsid w:val="006F6AFE"/>
    <w:rsid w:val="00706BB8"/>
    <w:rsid w:val="00706DE0"/>
    <w:rsid w:val="007201CA"/>
    <w:rsid w:val="00742B2A"/>
    <w:rsid w:val="0074583C"/>
    <w:rsid w:val="00755E20"/>
    <w:rsid w:val="00766DB3"/>
    <w:rsid w:val="00766FF5"/>
    <w:rsid w:val="007741C0"/>
    <w:rsid w:val="00784605"/>
    <w:rsid w:val="00790D65"/>
    <w:rsid w:val="007933D9"/>
    <w:rsid w:val="007975C5"/>
    <w:rsid w:val="007C4D5A"/>
    <w:rsid w:val="007D1210"/>
    <w:rsid w:val="007F14A2"/>
    <w:rsid w:val="007F520E"/>
    <w:rsid w:val="00803F86"/>
    <w:rsid w:val="00825602"/>
    <w:rsid w:val="00830A80"/>
    <w:rsid w:val="008471B9"/>
    <w:rsid w:val="00857B92"/>
    <w:rsid w:val="008671A5"/>
    <w:rsid w:val="00871B9F"/>
    <w:rsid w:val="0087257C"/>
    <w:rsid w:val="00876297"/>
    <w:rsid w:val="00877A48"/>
    <w:rsid w:val="008A61C9"/>
    <w:rsid w:val="008B63A2"/>
    <w:rsid w:val="008F0BA2"/>
    <w:rsid w:val="008F5CC9"/>
    <w:rsid w:val="00927AD3"/>
    <w:rsid w:val="0094712B"/>
    <w:rsid w:val="00953799"/>
    <w:rsid w:val="00962FBD"/>
    <w:rsid w:val="00983955"/>
    <w:rsid w:val="00984C73"/>
    <w:rsid w:val="00994DFA"/>
    <w:rsid w:val="009A17B4"/>
    <w:rsid w:val="009C0807"/>
    <w:rsid w:val="009C29A0"/>
    <w:rsid w:val="009D1AAA"/>
    <w:rsid w:val="009F47E4"/>
    <w:rsid w:val="00A14D94"/>
    <w:rsid w:val="00A15494"/>
    <w:rsid w:val="00A27CAB"/>
    <w:rsid w:val="00A32C11"/>
    <w:rsid w:val="00A3351A"/>
    <w:rsid w:val="00A33E16"/>
    <w:rsid w:val="00A37C5E"/>
    <w:rsid w:val="00A426C0"/>
    <w:rsid w:val="00A61219"/>
    <w:rsid w:val="00A67A95"/>
    <w:rsid w:val="00A71833"/>
    <w:rsid w:val="00A80CB1"/>
    <w:rsid w:val="00AA0E4D"/>
    <w:rsid w:val="00AB4087"/>
    <w:rsid w:val="00AB53E0"/>
    <w:rsid w:val="00AC018F"/>
    <w:rsid w:val="00AC303E"/>
    <w:rsid w:val="00AD3E5A"/>
    <w:rsid w:val="00AE37A9"/>
    <w:rsid w:val="00AE38F9"/>
    <w:rsid w:val="00AF36EA"/>
    <w:rsid w:val="00B127A0"/>
    <w:rsid w:val="00B22FB3"/>
    <w:rsid w:val="00B235BF"/>
    <w:rsid w:val="00B26EEB"/>
    <w:rsid w:val="00B423C5"/>
    <w:rsid w:val="00B81D89"/>
    <w:rsid w:val="00BA055B"/>
    <w:rsid w:val="00BA1B05"/>
    <w:rsid w:val="00BA1D72"/>
    <w:rsid w:val="00BC5A17"/>
    <w:rsid w:val="00BE694A"/>
    <w:rsid w:val="00BE7458"/>
    <w:rsid w:val="00BF54AA"/>
    <w:rsid w:val="00C06213"/>
    <w:rsid w:val="00C108A4"/>
    <w:rsid w:val="00C14B26"/>
    <w:rsid w:val="00C20C5E"/>
    <w:rsid w:val="00C31A19"/>
    <w:rsid w:val="00C419E6"/>
    <w:rsid w:val="00C572EC"/>
    <w:rsid w:val="00C71F9F"/>
    <w:rsid w:val="00C9310D"/>
    <w:rsid w:val="00C948B1"/>
    <w:rsid w:val="00CA095B"/>
    <w:rsid w:val="00CA173E"/>
    <w:rsid w:val="00CA7760"/>
    <w:rsid w:val="00CB3364"/>
    <w:rsid w:val="00CC6323"/>
    <w:rsid w:val="00CE4245"/>
    <w:rsid w:val="00D27805"/>
    <w:rsid w:val="00D31549"/>
    <w:rsid w:val="00D31693"/>
    <w:rsid w:val="00D31937"/>
    <w:rsid w:val="00D338F5"/>
    <w:rsid w:val="00D41CBE"/>
    <w:rsid w:val="00D44591"/>
    <w:rsid w:val="00D624CF"/>
    <w:rsid w:val="00D7765A"/>
    <w:rsid w:val="00D920AE"/>
    <w:rsid w:val="00D9277C"/>
    <w:rsid w:val="00DA0651"/>
    <w:rsid w:val="00DA209A"/>
    <w:rsid w:val="00DA36E7"/>
    <w:rsid w:val="00DA7C76"/>
    <w:rsid w:val="00DB1198"/>
    <w:rsid w:val="00DB4491"/>
    <w:rsid w:val="00DC606F"/>
    <w:rsid w:val="00DE611F"/>
    <w:rsid w:val="00DF0352"/>
    <w:rsid w:val="00E02D96"/>
    <w:rsid w:val="00E06203"/>
    <w:rsid w:val="00E17BCB"/>
    <w:rsid w:val="00E274E4"/>
    <w:rsid w:val="00E31BF7"/>
    <w:rsid w:val="00E37314"/>
    <w:rsid w:val="00E37F80"/>
    <w:rsid w:val="00E452D7"/>
    <w:rsid w:val="00E6681A"/>
    <w:rsid w:val="00E71693"/>
    <w:rsid w:val="00E73826"/>
    <w:rsid w:val="00E82BFD"/>
    <w:rsid w:val="00E84301"/>
    <w:rsid w:val="00E97180"/>
    <w:rsid w:val="00EA243A"/>
    <w:rsid w:val="00EE18C2"/>
    <w:rsid w:val="00EF13C2"/>
    <w:rsid w:val="00EF6BE0"/>
    <w:rsid w:val="00F12314"/>
    <w:rsid w:val="00F12F2A"/>
    <w:rsid w:val="00F16B90"/>
    <w:rsid w:val="00F27CFA"/>
    <w:rsid w:val="00F617D1"/>
    <w:rsid w:val="00F64FAA"/>
    <w:rsid w:val="00FB61DF"/>
    <w:rsid w:val="00FC3E5C"/>
    <w:rsid w:val="00FD0540"/>
    <w:rsid w:val="00FD1BB0"/>
    <w:rsid w:val="00FD4D6F"/>
    <w:rsid w:val="00FD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7C7C"/>
  <w15:chartTrackingRefBased/>
  <w15:docId w15:val="{ACCBAC72-A917-3F46-BA7E-C92D2573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BE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181"/>
    <w:rPr>
      <w:sz w:val="16"/>
      <w:szCs w:val="16"/>
    </w:rPr>
  </w:style>
  <w:style w:type="paragraph" w:styleId="CommentText">
    <w:name w:val="annotation text"/>
    <w:basedOn w:val="Normal"/>
    <w:link w:val="CommentTextChar"/>
    <w:uiPriority w:val="99"/>
    <w:semiHidden/>
    <w:unhideWhenUsed/>
    <w:rsid w:val="004B618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B6181"/>
    <w:rPr>
      <w:sz w:val="20"/>
      <w:szCs w:val="20"/>
    </w:rPr>
  </w:style>
  <w:style w:type="paragraph" w:styleId="CommentSubject">
    <w:name w:val="annotation subject"/>
    <w:basedOn w:val="CommentText"/>
    <w:next w:val="CommentText"/>
    <w:link w:val="CommentSubjectChar"/>
    <w:uiPriority w:val="99"/>
    <w:semiHidden/>
    <w:unhideWhenUsed/>
    <w:rsid w:val="004B6181"/>
    <w:rPr>
      <w:b/>
      <w:bCs/>
    </w:rPr>
  </w:style>
  <w:style w:type="character" w:customStyle="1" w:styleId="CommentSubjectChar">
    <w:name w:val="Comment Subject Char"/>
    <w:basedOn w:val="CommentTextChar"/>
    <w:link w:val="CommentSubject"/>
    <w:uiPriority w:val="99"/>
    <w:semiHidden/>
    <w:rsid w:val="004B6181"/>
    <w:rPr>
      <w:b/>
      <w:bCs/>
      <w:sz w:val="20"/>
      <w:szCs w:val="20"/>
    </w:rPr>
  </w:style>
  <w:style w:type="paragraph" w:styleId="BalloonText">
    <w:name w:val="Balloon Text"/>
    <w:basedOn w:val="Normal"/>
    <w:link w:val="BalloonTextChar"/>
    <w:uiPriority w:val="99"/>
    <w:semiHidden/>
    <w:unhideWhenUsed/>
    <w:rsid w:val="004B618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B6181"/>
    <w:rPr>
      <w:rFonts w:ascii="Segoe UI" w:hAnsi="Segoe UI" w:cs="Segoe UI"/>
      <w:sz w:val="18"/>
      <w:szCs w:val="18"/>
    </w:rPr>
  </w:style>
  <w:style w:type="paragraph" w:styleId="Header">
    <w:name w:val="header"/>
    <w:basedOn w:val="Normal"/>
    <w:link w:val="HeaderChar"/>
    <w:uiPriority w:val="99"/>
    <w:unhideWhenUsed/>
    <w:rsid w:val="002F7EF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F7EF0"/>
  </w:style>
  <w:style w:type="paragraph" w:styleId="Footer">
    <w:name w:val="footer"/>
    <w:basedOn w:val="Normal"/>
    <w:link w:val="FooterChar"/>
    <w:uiPriority w:val="99"/>
    <w:unhideWhenUsed/>
    <w:rsid w:val="002F7EF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F7EF0"/>
  </w:style>
  <w:style w:type="paragraph" w:styleId="BodyText">
    <w:name w:val="Body Text"/>
    <w:basedOn w:val="Normal"/>
    <w:link w:val="BodyTextChar"/>
    <w:rsid w:val="002E568D"/>
    <w:pPr>
      <w:spacing w:line="480" w:lineRule="auto"/>
    </w:pPr>
    <w:rPr>
      <w:szCs w:val="20"/>
    </w:rPr>
  </w:style>
  <w:style w:type="character" w:customStyle="1" w:styleId="BodyTextChar">
    <w:name w:val="Body Text Char"/>
    <w:basedOn w:val="DefaultParagraphFont"/>
    <w:link w:val="BodyText"/>
    <w:rsid w:val="002E568D"/>
    <w:rPr>
      <w:rFonts w:ascii="Times New Roman" w:eastAsia="Times New Roman" w:hAnsi="Times New Roman" w:cs="Times New Roman"/>
      <w:szCs w:val="20"/>
    </w:rPr>
  </w:style>
  <w:style w:type="table" w:styleId="TableGrid">
    <w:name w:val="Table Grid"/>
    <w:basedOn w:val="TableNormal"/>
    <w:rsid w:val="002E568D"/>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9104">
      <w:bodyDiv w:val="1"/>
      <w:marLeft w:val="0"/>
      <w:marRight w:val="0"/>
      <w:marTop w:val="0"/>
      <w:marBottom w:val="0"/>
      <w:divBdr>
        <w:top w:val="none" w:sz="0" w:space="0" w:color="auto"/>
        <w:left w:val="none" w:sz="0" w:space="0" w:color="auto"/>
        <w:bottom w:val="none" w:sz="0" w:space="0" w:color="auto"/>
        <w:right w:val="none" w:sz="0" w:space="0" w:color="auto"/>
      </w:divBdr>
    </w:div>
    <w:div w:id="234509593">
      <w:bodyDiv w:val="1"/>
      <w:marLeft w:val="0"/>
      <w:marRight w:val="0"/>
      <w:marTop w:val="0"/>
      <w:marBottom w:val="0"/>
      <w:divBdr>
        <w:top w:val="none" w:sz="0" w:space="0" w:color="auto"/>
        <w:left w:val="none" w:sz="0" w:space="0" w:color="auto"/>
        <w:bottom w:val="none" w:sz="0" w:space="0" w:color="auto"/>
        <w:right w:val="none" w:sz="0" w:space="0" w:color="auto"/>
      </w:divBdr>
    </w:div>
    <w:div w:id="357703342">
      <w:bodyDiv w:val="1"/>
      <w:marLeft w:val="0"/>
      <w:marRight w:val="0"/>
      <w:marTop w:val="0"/>
      <w:marBottom w:val="0"/>
      <w:divBdr>
        <w:top w:val="none" w:sz="0" w:space="0" w:color="auto"/>
        <w:left w:val="none" w:sz="0" w:space="0" w:color="auto"/>
        <w:bottom w:val="none" w:sz="0" w:space="0" w:color="auto"/>
        <w:right w:val="none" w:sz="0" w:space="0" w:color="auto"/>
      </w:divBdr>
    </w:div>
    <w:div w:id="633489739">
      <w:bodyDiv w:val="1"/>
      <w:marLeft w:val="0"/>
      <w:marRight w:val="0"/>
      <w:marTop w:val="0"/>
      <w:marBottom w:val="0"/>
      <w:divBdr>
        <w:top w:val="none" w:sz="0" w:space="0" w:color="auto"/>
        <w:left w:val="none" w:sz="0" w:space="0" w:color="auto"/>
        <w:bottom w:val="none" w:sz="0" w:space="0" w:color="auto"/>
        <w:right w:val="none" w:sz="0" w:space="0" w:color="auto"/>
      </w:divBdr>
    </w:div>
    <w:div w:id="645820051">
      <w:bodyDiv w:val="1"/>
      <w:marLeft w:val="0"/>
      <w:marRight w:val="0"/>
      <w:marTop w:val="0"/>
      <w:marBottom w:val="0"/>
      <w:divBdr>
        <w:top w:val="none" w:sz="0" w:space="0" w:color="auto"/>
        <w:left w:val="none" w:sz="0" w:space="0" w:color="auto"/>
        <w:bottom w:val="none" w:sz="0" w:space="0" w:color="auto"/>
        <w:right w:val="none" w:sz="0" w:space="0" w:color="auto"/>
      </w:divBdr>
    </w:div>
    <w:div w:id="658122833">
      <w:bodyDiv w:val="1"/>
      <w:marLeft w:val="0"/>
      <w:marRight w:val="0"/>
      <w:marTop w:val="0"/>
      <w:marBottom w:val="0"/>
      <w:divBdr>
        <w:top w:val="none" w:sz="0" w:space="0" w:color="auto"/>
        <w:left w:val="none" w:sz="0" w:space="0" w:color="auto"/>
        <w:bottom w:val="none" w:sz="0" w:space="0" w:color="auto"/>
        <w:right w:val="none" w:sz="0" w:space="0" w:color="auto"/>
      </w:divBdr>
    </w:div>
    <w:div w:id="716128341">
      <w:bodyDiv w:val="1"/>
      <w:marLeft w:val="0"/>
      <w:marRight w:val="0"/>
      <w:marTop w:val="0"/>
      <w:marBottom w:val="0"/>
      <w:divBdr>
        <w:top w:val="none" w:sz="0" w:space="0" w:color="auto"/>
        <w:left w:val="none" w:sz="0" w:space="0" w:color="auto"/>
        <w:bottom w:val="none" w:sz="0" w:space="0" w:color="auto"/>
        <w:right w:val="none" w:sz="0" w:space="0" w:color="auto"/>
      </w:divBdr>
    </w:div>
    <w:div w:id="744033963">
      <w:bodyDiv w:val="1"/>
      <w:marLeft w:val="0"/>
      <w:marRight w:val="0"/>
      <w:marTop w:val="0"/>
      <w:marBottom w:val="0"/>
      <w:divBdr>
        <w:top w:val="none" w:sz="0" w:space="0" w:color="auto"/>
        <w:left w:val="none" w:sz="0" w:space="0" w:color="auto"/>
        <w:bottom w:val="none" w:sz="0" w:space="0" w:color="auto"/>
        <w:right w:val="none" w:sz="0" w:space="0" w:color="auto"/>
      </w:divBdr>
    </w:div>
    <w:div w:id="785780883">
      <w:bodyDiv w:val="1"/>
      <w:marLeft w:val="0"/>
      <w:marRight w:val="0"/>
      <w:marTop w:val="0"/>
      <w:marBottom w:val="0"/>
      <w:divBdr>
        <w:top w:val="none" w:sz="0" w:space="0" w:color="auto"/>
        <w:left w:val="none" w:sz="0" w:space="0" w:color="auto"/>
        <w:bottom w:val="none" w:sz="0" w:space="0" w:color="auto"/>
        <w:right w:val="none" w:sz="0" w:space="0" w:color="auto"/>
      </w:divBdr>
    </w:div>
    <w:div w:id="1015958651">
      <w:bodyDiv w:val="1"/>
      <w:marLeft w:val="0"/>
      <w:marRight w:val="0"/>
      <w:marTop w:val="0"/>
      <w:marBottom w:val="0"/>
      <w:divBdr>
        <w:top w:val="none" w:sz="0" w:space="0" w:color="auto"/>
        <w:left w:val="none" w:sz="0" w:space="0" w:color="auto"/>
        <w:bottom w:val="none" w:sz="0" w:space="0" w:color="auto"/>
        <w:right w:val="none" w:sz="0" w:space="0" w:color="auto"/>
      </w:divBdr>
    </w:div>
    <w:div w:id="1063679341">
      <w:bodyDiv w:val="1"/>
      <w:marLeft w:val="0"/>
      <w:marRight w:val="0"/>
      <w:marTop w:val="0"/>
      <w:marBottom w:val="0"/>
      <w:divBdr>
        <w:top w:val="none" w:sz="0" w:space="0" w:color="auto"/>
        <w:left w:val="none" w:sz="0" w:space="0" w:color="auto"/>
        <w:bottom w:val="none" w:sz="0" w:space="0" w:color="auto"/>
        <w:right w:val="none" w:sz="0" w:space="0" w:color="auto"/>
      </w:divBdr>
    </w:div>
    <w:div w:id="1077556679">
      <w:bodyDiv w:val="1"/>
      <w:marLeft w:val="0"/>
      <w:marRight w:val="0"/>
      <w:marTop w:val="0"/>
      <w:marBottom w:val="0"/>
      <w:divBdr>
        <w:top w:val="none" w:sz="0" w:space="0" w:color="auto"/>
        <w:left w:val="none" w:sz="0" w:space="0" w:color="auto"/>
        <w:bottom w:val="none" w:sz="0" w:space="0" w:color="auto"/>
        <w:right w:val="none" w:sz="0" w:space="0" w:color="auto"/>
      </w:divBdr>
    </w:div>
    <w:div w:id="1165851879">
      <w:bodyDiv w:val="1"/>
      <w:marLeft w:val="0"/>
      <w:marRight w:val="0"/>
      <w:marTop w:val="0"/>
      <w:marBottom w:val="0"/>
      <w:divBdr>
        <w:top w:val="none" w:sz="0" w:space="0" w:color="auto"/>
        <w:left w:val="none" w:sz="0" w:space="0" w:color="auto"/>
        <w:bottom w:val="none" w:sz="0" w:space="0" w:color="auto"/>
        <w:right w:val="none" w:sz="0" w:space="0" w:color="auto"/>
      </w:divBdr>
    </w:div>
    <w:div w:id="1378046709">
      <w:bodyDiv w:val="1"/>
      <w:marLeft w:val="0"/>
      <w:marRight w:val="0"/>
      <w:marTop w:val="0"/>
      <w:marBottom w:val="0"/>
      <w:divBdr>
        <w:top w:val="none" w:sz="0" w:space="0" w:color="auto"/>
        <w:left w:val="none" w:sz="0" w:space="0" w:color="auto"/>
        <w:bottom w:val="none" w:sz="0" w:space="0" w:color="auto"/>
        <w:right w:val="none" w:sz="0" w:space="0" w:color="auto"/>
      </w:divBdr>
    </w:div>
    <w:div w:id="1409232578">
      <w:bodyDiv w:val="1"/>
      <w:marLeft w:val="0"/>
      <w:marRight w:val="0"/>
      <w:marTop w:val="0"/>
      <w:marBottom w:val="0"/>
      <w:divBdr>
        <w:top w:val="none" w:sz="0" w:space="0" w:color="auto"/>
        <w:left w:val="none" w:sz="0" w:space="0" w:color="auto"/>
        <w:bottom w:val="none" w:sz="0" w:space="0" w:color="auto"/>
        <w:right w:val="none" w:sz="0" w:space="0" w:color="auto"/>
      </w:divBdr>
    </w:div>
    <w:div w:id="1620333228">
      <w:bodyDiv w:val="1"/>
      <w:marLeft w:val="0"/>
      <w:marRight w:val="0"/>
      <w:marTop w:val="0"/>
      <w:marBottom w:val="0"/>
      <w:divBdr>
        <w:top w:val="none" w:sz="0" w:space="0" w:color="auto"/>
        <w:left w:val="none" w:sz="0" w:space="0" w:color="auto"/>
        <w:bottom w:val="none" w:sz="0" w:space="0" w:color="auto"/>
        <w:right w:val="none" w:sz="0" w:space="0" w:color="auto"/>
      </w:divBdr>
    </w:div>
    <w:div w:id="1661806492">
      <w:bodyDiv w:val="1"/>
      <w:marLeft w:val="0"/>
      <w:marRight w:val="0"/>
      <w:marTop w:val="0"/>
      <w:marBottom w:val="0"/>
      <w:divBdr>
        <w:top w:val="none" w:sz="0" w:space="0" w:color="auto"/>
        <w:left w:val="none" w:sz="0" w:space="0" w:color="auto"/>
        <w:bottom w:val="none" w:sz="0" w:space="0" w:color="auto"/>
        <w:right w:val="none" w:sz="0" w:space="0" w:color="auto"/>
      </w:divBdr>
    </w:div>
    <w:div w:id="1754358598">
      <w:bodyDiv w:val="1"/>
      <w:marLeft w:val="0"/>
      <w:marRight w:val="0"/>
      <w:marTop w:val="0"/>
      <w:marBottom w:val="0"/>
      <w:divBdr>
        <w:top w:val="none" w:sz="0" w:space="0" w:color="auto"/>
        <w:left w:val="none" w:sz="0" w:space="0" w:color="auto"/>
        <w:bottom w:val="none" w:sz="0" w:space="0" w:color="auto"/>
        <w:right w:val="none" w:sz="0" w:space="0" w:color="auto"/>
      </w:divBdr>
    </w:div>
    <w:div w:id="19746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1B3E-0500-4712-B12D-FD460E99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Hayes, Patrick</cp:lastModifiedBy>
  <cp:revision>2</cp:revision>
  <dcterms:created xsi:type="dcterms:W3CDTF">2020-08-06T17:01:00Z</dcterms:created>
  <dcterms:modified xsi:type="dcterms:W3CDTF">2020-08-06T17:01:00Z</dcterms:modified>
</cp:coreProperties>
</file>